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D" w:rsidRDefault="00BA47DD" w:rsidP="00BA47DD">
      <w:pPr>
        <w:spacing w:line="440" w:lineRule="exact"/>
        <w:jc w:val="center"/>
        <w:rPr>
          <w:rStyle w:val="btcontent1"/>
          <w:rFonts w:ascii="仿宋_GB2312" w:eastAsia="仿宋_GB2312" w:hAnsi="Verdana"/>
          <w:b/>
          <w:sz w:val="32"/>
          <w:szCs w:val="32"/>
        </w:rPr>
      </w:pPr>
    </w:p>
    <w:p w:rsidR="00BA47DD" w:rsidRDefault="00BA47DD" w:rsidP="00BA47DD">
      <w:pPr>
        <w:spacing w:line="440" w:lineRule="exact"/>
        <w:jc w:val="center"/>
        <w:rPr>
          <w:rStyle w:val="btcontent1"/>
          <w:rFonts w:ascii="仿宋_GB2312" w:eastAsia="仿宋_GB2312" w:hAnsi="Verdana"/>
          <w:b/>
          <w:sz w:val="32"/>
          <w:szCs w:val="32"/>
        </w:rPr>
      </w:pPr>
    </w:p>
    <w:p w:rsidR="00B27F20" w:rsidRDefault="00B27F20" w:rsidP="00B27F20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河北医科大学附属</w:t>
      </w:r>
      <w:r w:rsidRPr="004F0D3A">
        <w:rPr>
          <w:rFonts w:ascii="宋体" w:eastAsia="宋体" w:hAnsi="宋体" w:cs="宋体" w:hint="eastAsia"/>
          <w:b/>
          <w:kern w:val="0"/>
          <w:sz w:val="44"/>
          <w:szCs w:val="44"/>
        </w:rPr>
        <w:t>燕达医院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招聘简章</w:t>
      </w:r>
    </w:p>
    <w:p w:rsidR="00310934" w:rsidRPr="00B27F20" w:rsidRDefault="00310934" w:rsidP="00310934">
      <w:pPr>
        <w:spacing w:line="440" w:lineRule="exact"/>
        <w:ind w:firstLineChars="200" w:firstLine="643"/>
        <w:rPr>
          <w:rStyle w:val="btcontent1"/>
          <w:rFonts w:ascii="仿宋_GB2312" w:eastAsia="仿宋_GB2312" w:hAnsi="Verdana"/>
          <w:b/>
          <w:sz w:val="32"/>
          <w:szCs w:val="32"/>
        </w:rPr>
      </w:pPr>
    </w:p>
    <w:p w:rsidR="00715F7F" w:rsidRDefault="00455F9D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r w:rsidRPr="00872966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河北</w:t>
      </w:r>
      <w:r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燕达医院</w:t>
      </w:r>
      <w:proofErr w:type="gramStart"/>
      <w:r w:rsidR="001852BB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是</w:t>
      </w:r>
      <w:r w:rsidR="004A349E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燕达国际</w:t>
      </w:r>
      <w:proofErr w:type="gramEnd"/>
      <w:r w:rsidR="004A349E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健康城</w:t>
      </w:r>
      <w:r w:rsidR="005A13EE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所属五大独立板块之一，</w:t>
      </w:r>
      <w:r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按照三级甲等综合医院和JCI</w:t>
      </w:r>
      <w:r w:rsidR="004A349E" w:rsidRPr="00872966">
        <w:rPr>
          <w:rStyle w:val="btcontent1"/>
          <w:rFonts w:ascii="仿宋_GB2312" w:eastAsia="仿宋_GB2312" w:hAnsi="Verdana"/>
          <w:color w:val="auto"/>
          <w:sz w:val="24"/>
          <w:szCs w:val="24"/>
        </w:rPr>
        <w:t>标准建设的集医疗、科研、教学于一体的民营大型三级综合医院</w:t>
      </w:r>
      <w:r w:rsidR="00E24EC7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。</w:t>
      </w:r>
      <w:r w:rsidR="001852BB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在“京津冀医疗一体化”政策的扶持</w:t>
      </w:r>
      <w:proofErr w:type="gramStart"/>
      <w:r w:rsidR="001852BB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下</w:t>
      </w:r>
      <w:r w:rsidR="00E24EC7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燕达</w:t>
      </w:r>
      <w:proofErr w:type="gramEnd"/>
      <w:r w:rsidR="00E24EC7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医院</w:t>
      </w:r>
      <w:r w:rsidR="00515552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成为全国</w:t>
      </w:r>
      <w:r w:rsidR="00515552" w:rsidRPr="00A82351">
        <w:rPr>
          <w:rStyle w:val="btcontent1"/>
          <w:rFonts w:ascii="仿宋_GB2312" w:eastAsia="仿宋_GB2312" w:hAnsi="Verdana" w:hint="eastAsia"/>
          <w:color w:val="000000" w:themeColor="text1"/>
          <w:sz w:val="24"/>
          <w:szCs w:val="24"/>
        </w:rPr>
        <w:t>首批</w:t>
      </w:r>
      <w:r w:rsidR="00515552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获得事业编制的“非营利</w:t>
      </w:r>
      <w:r w:rsidR="00C970F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医疗机构”，</w:t>
      </w:r>
      <w:r w:rsidR="00AF18A8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并与北京多家三甲医院在战略层面深度合作</w:t>
      </w:r>
      <w:r w:rsidR="00715F7F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，</w:t>
      </w:r>
      <w:r w:rsidR="00715F7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使来院患者享受</w:t>
      </w:r>
      <w:r w:rsidR="00C00F83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公</w:t>
      </w:r>
      <w:r w:rsidR="00715F7F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立医院价格</w:t>
      </w:r>
      <w:r w:rsidR="00715F7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、北京</w:t>
      </w:r>
      <w:r w:rsidR="00715F7F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三甲</w:t>
      </w:r>
      <w:r w:rsidR="00715F7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医院医疗质量。</w:t>
      </w:r>
    </w:p>
    <w:p w:rsidR="00B9700C" w:rsidRPr="00B9700C" w:rsidRDefault="00B9700C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hint="eastAsia"/>
          <w:sz w:val="24"/>
          <w:szCs w:val="24"/>
        </w:rPr>
        <w:t>河北医科大学附属医院</w:t>
      </w:r>
    </w:p>
    <w:p w:rsidR="00B9700C" w:rsidRPr="00B9700C" w:rsidRDefault="00B9700C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hint="eastAsia"/>
          <w:sz w:val="24"/>
          <w:szCs w:val="24"/>
        </w:rPr>
        <w:t>承德医学院教学医院</w:t>
      </w:r>
    </w:p>
    <w:p w:rsidR="00AF18A8" w:rsidRPr="00B9700C" w:rsidRDefault="00E41913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="004A349E"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首都医科大学附属北京朝阳医院联盟共建医院</w:t>
      </w:r>
    </w:p>
    <w:p w:rsidR="00AF18A8" w:rsidRPr="00B9700C" w:rsidRDefault="00E41913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="004A349E"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首都医科大学天坛医院专科共建医院</w:t>
      </w:r>
    </w:p>
    <w:p w:rsidR="00715F7F" w:rsidRPr="00B9700C" w:rsidRDefault="00E41913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="008A7372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首都儿科研究所</w:t>
      </w:r>
      <w:r w:rsidR="00227E16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 xml:space="preserve"> </w:t>
      </w:r>
      <w:r w:rsidR="008A7372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“首儿所·燕达儿科疾病诊疗中心”</w:t>
      </w:r>
    </w:p>
    <w:p w:rsidR="00B9700C" w:rsidRPr="00B9700C" w:rsidRDefault="00E41913" w:rsidP="00B9700C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="008A7372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北京中医医院</w:t>
      </w:r>
      <w:r w:rsidR="00227E16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 xml:space="preserve"> </w:t>
      </w:r>
      <w:r w:rsidR="008A7372" w:rsidRPr="00B9700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“北京中医医院·燕达中医诊疗中”</w:t>
      </w:r>
    </w:p>
    <w:p w:rsidR="00B9700C" w:rsidRPr="00B9700C" w:rsidRDefault="00B9700C" w:rsidP="00B9700C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河北省直属</w:t>
      </w:r>
      <w:proofErr w:type="gramStart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医</w:t>
      </w:r>
      <w:proofErr w:type="gramEnd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保定点机构</w:t>
      </w:r>
    </w:p>
    <w:p w:rsidR="00B9700C" w:rsidRPr="00B9700C" w:rsidRDefault="00B9700C" w:rsidP="00B9700C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廊坊市新农合定点医疗机构</w:t>
      </w:r>
    </w:p>
    <w:p w:rsidR="00B9700C" w:rsidRPr="00B9700C" w:rsidRDefault="00B9700C" w:rsidP="00B9700C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三河市城镇职工</w:t>
      </w:r>
      <w:proofErr w:type="gramStart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医</w:t>
      </w:r>
      <w:proofErr w:type="gramEnd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保、城镇居民</w:t>
      </w:r>
      <w:proofErr w:type="gramStart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医</w:t>
      </w:r>
      <w:proofErr w:type="gramEnd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保、新农合定点医疗机构</w:t>
      </w:r>
    </w:p>
    <w:p w:rsidR="00B9700C" w:rsidRPr="00B9700C" w:rsidRDefault="00B9700C" w:rsidP="00B9700C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北京市新农合定点医疗机构</w:t>
      </w:r>
    </w:p>
    <w:p w:rsidR="00715F7F" w:rsidRPr="00B9700C" w:rsidRDefault="00B9700C" w:rsidP="00B9700C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  <w:r w:rsidRPr="00B9700C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●</w:t>
      </w:r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北京市城镇职工</w:t>
      </w:r>
      <w:proofErr w:type="gramStart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医</w:t>
      </w:r>
      <w:proofErr w:type="gramEnd"/>
      <w:r w:rsidRPr="00B9700C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保</w:t>
      </w:r>
      <w:r w:rsidR="00246353">
        <w:rPr>
          <w:rStyle w:val="btcontent1"/>
          <w:rFonts w:ascii="仿宋_GB2312" w:eastAsia="仿宋_GB2312" w:hAnsi="Verdana" w:cs="Times New Roman" w:hint="eastAsia"/>
          <w:sz w:val="24"/>
          <w:szCs w:val="24"/>
        </w:rPr>
        <w:t>定点机构</w:t>
      </w:r>
    </w:p>
    <w:p w:rsidR="00C95D13" w:rsidRDefault="00A82351" w:rsidP="008A7372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proofErr w:type="gramStart"/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燕达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医院</w:t>
      </w:r>
      <w:proofErr w:type="gramEnd"/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总建</w:t>
      </w:r>
      <w:r w:rsidR="00455F9D"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筑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面积约52万平方米，</w:t>
      </w:r>
      <w:r w:rsidR="004A3EC3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开放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床位</w:t>
      </w:r>
      <w:r w:rsidR="00B201E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1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千张，</w:t>
      </w:r>
      <w:r w:rsidR="004A3EC3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展开床位3千张，</w:t>
      </w:r>
      <w:r w:rsidR="004A349E" w:rsidRPr="00872966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批准一级诊疗科目23个、二级</w:t>
      </w:r>
      <w:r w:rsidR="00246353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诊疗科目</w:t>
      </w:r>
      <w:r w:rsidR="004A349E" w:rsidRPr="00872966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86个，目前开展业务的临床科室共计38个，拥有在职员工1100余人，其中高级职称医学专业人员100余名</w:t>
      </w:r>
      <w:r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,博士11人。</w:t>
      </w:r>
    </w:p>
    <w:p w:rsidR="00455F9D" w:rsidRDefault="0086429A" w:rsidP="008A7372">
      <w:pPr>
        <w:spacing w:line="44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proofErr w:type="gramStart"/>
      <w:r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燕达医院</w:t>
      </w:r>
      <w:proofErr w:type="gramEnd"/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拥有世界先进的大型医疗检查及手术设备，包括500排动态宝石CT、64排CT、3.0T磁共振、</w:t>
      </w:r>
      <w:r w:rsidR="00455F9D"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双C</w:t>
      </w:r>
      <w:proofErr w:type="gramStart"/>
      <w:r w:rsidR="00455F9D"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型臂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血管</w:t>
      </w:r>
      <w:proofErr w:type="gramEnd"/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造影机、机器人DSA、</w:t>
      </w:r>
      <w:r w:rsidR="00455F9D"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高能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直线加速器、</w:t>
      </w:r>
      <w:r w:rsidR="00455F9D" w:rsidRPr="0087296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数字化心脏复合手术室；</w:t>
      </w:r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此外医院还配备有亚洲最大规模的高压氧仓群（50人</w:t>
      </w:r>
      <w:proofErr w:type="gramStart"/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仓位</w:t>
      </w:r>
      <w:proofErr w:type="gramEnd"/>
      <w:r w:rsidR="00455F9D" w:rsidRPr="00872966"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  <w:t>）、亚洲最大规模的气动物流传输系统、自动摆药机及条码采血流水线系统等现代化设备。</w:t>
      </w:r>
    </w:p>
    <w:p w:rsidR="004A3EC3" w:rsidRDefault="008831E4" w:rsidP="008A7372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proofErr w:type="gramStart"/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燕达</w:t>
      </w:r>
      <w:r w:rsidR="0051367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医院</w:t>
      </w:r>
      <w:proofErr w:type="gramEnd"/>
      <w:r w:rsidR="0051367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高度重视学科建设和人才梯队培训，</w:t>
      </w:r>
      <w:r w:rsidR="00260675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将为您提供：广</w:t>
      </w:r>
      <w:r w:rsidR="00513676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阔的晋升空间，</w:t>
      </w:r>
      <w:r w:rsidR="00C5236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尖端</w:t>
      </w:r>
      <w:r w:rsidR="00260675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的</w:t>
      </w:r>
      <w:r w:rsidR="00C5236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医疗技术交流活动，知名学府</w:t>
      </w:r>
      <w:r w:rsidR="000C5C62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、学</w:t>
      </w:r>
      <w:r w:rsidR="004A3EC3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者</w:t>
      </w:r>
      <w:r w:rsidR="000C5C62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的</w:t>
      </w:r>
      <w:r w:rsidR="00C5236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培训；</w:t>
      </w:r>
      <w:r w:rsidR="00260675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舒适的</w:t>
      </w:r>
      <w:r w:rsidR="00C5236F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员工公寓，种类丰富的职工餐</w:t>
      </w:r>
      <w:r w:rsidR="000C1C49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、融洽的工作氛围，便捷的班车服务，全覆盖的</w:t>
      </w:r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福</w:t>
      </w:r>
      <w:r w:rsidR="000C1C49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利保障</w:t>
      </w:r>
      <w:r w:rsidR="000C5C62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；</w:t>
      </w:r>
      <w:r w:rsidR="00705189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优厚的薪资待遇 、</w:t>
      </w:r>
      <w:r w:rsidR="000C5C62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展现个性</w:t>
      </w:r>
      <w:r w:rsidR="00705189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的发展舞台</w:t>
      </w:r>
      <w:r w:rsidR="00B201EC"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。</w:t>
      </w:r>
    </w:p>
    <w:p w:rsidR="003D0F89" w:rsidRPr="00872966" w:rsidRDefault="00B201EC" w:rsidP="008A7372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color w:val="auto"/>
          <w:sz w:val="24"/>
          <w:szCs w:val="24"/>
        </w:rPr>
      </w:pPr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您的职业生涯即将</w:t>
      </w:r>
      <w:proofErr w:type="gramStart"/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在燕达起航</w:t>
      </w:r>
      <w:proofErr w:type="gramEnd"/>
      <w:r>
        <w:rPr>
          <w:rStyle w:val="btcontent1"/>
          <w:rFonts w:ascii="仿宋_GB2312" w:eastAsia="仿宋_GB2312" w:hAnsi="Verdana" w:cs="Times New Roman" w:hint="eastAsia"/>
          <w:color w:val="auto"/>
          <w:sz w:val="24"/>
          <w:szCs w:val="24"/>
        </w:rPr>
        <w:t>！</w:t>
      </w:r>
    </w:p>
    <w:p w:rsidR="00A61021" w:rsidRPr="004A3EC3" w:rsidRDefault="00A61021" w:rsidP="008A7372">
      <w:pPr>
        <w:spacing w:line="380" w:lineRule="exact"/>
        <w:ind w:firstLineChars="200" w:firstLine="480"/>
        <w:jc w:val="left"/>
        <w:rPr>
          <w:rStyle w:val="btcontent1"/>
          <w:rFonts w:ascii="仿宋_GB2312" w:eastAsia="仿宋_GB2312" w:hAnsi="Verdana" w:cs="Times New Roman"/>
          <w:sz w:val="24"/>
          <w:szCs w:val="24"/>
        </w:rPr>
      </w:pPr>
    </w:p>
    <w:p w:rsidR="007151F2" w:rsidRDefault="007151F2" w:rsidP="00CF38BE">
      <w:pPr>
        <w:spacing w:line="380" w:lineRule="exact"/>
        <w:jc w:val="left"/>
        <w:rPr>
          <w:rStyle w:val="btcontent1"/>
          <w:rFonts w:ascii="仿宋_GB2312" w:eastAsia="仿宋_GB2312" w:hAnsi="Verdana" w:cs="Times New Roman"/>
          <w:b/>
          <w:sz w:val="24"/>
          <w:szCs w:val="24"/>
        </w:rPr>
      </w:pPr>
    </w:p>
    <w:p w:rsidR="00CF38BE" w:rsidRDefault="00CF38BE" w:rsidP="00CF38BE">
      <w:pPr>
        <w:spacing w:line="380" w:lineRule="exact"/>
        <w:jc w:val="left"/>
        <w:rPr>
          <w:rStyle w:val="btcontent1"/>
          <w:rFonts w:ascii="仿宋_GB2312" w:eastAsia="仿宋_GB2312" w:hAnsi="Verdana" w:cs="Times New Roman"/>
          <w:b/>
          <w:sz w:val="24"/>
          <w:szCs w:val="24"/>
        </w:rPr>
      </w:pPr>
    </w:p>
    <w:p w:rsidR="00CF38BE" w:rsidRDefault="00CF38BE" w:rsidP="00CF38BE">
      <w:pPr>
        <w:spacing w:line="380" w:lineRule="exact"/>
        <w:jc w:val="left"/>
        <w:rPr>
          <w:rStyle w:val="btcontent1"/>
          <w:rFonts w:ascii="仿宋_GB2312" w:eastAsia="仿宋_GB2312" w:hAnsi="Verdana" w:cs="Times New Roman"/>
          <w:b/>
        </w:rPr>
      </w:pPr>
    </w:p>
    <w:tbl>
      <w:tblPr>
        <w:tblW w:w="7982" w:type="dxa"/>
        <w:tblInd w:w="890" w:type="dxa"/>
        <w:tblLook w:val="04A0"/>
      </w:tblPr>
      <w:tblGrid>
        <w:gridCol w:w="681"/>
        <w:gridCol w:w="1649"/>
        <w:gridCol w:w="3474"/>
        <w:gridCol w:w="725"/>
        <w:gridCol w:w="725"/>
        <w:gridCol w:w="728"/>
      </w:tblGrid>
      <w:tr w:rsidR="00CF38BE" w:rsidRPr="002B6A25" w:rsidTr="00CF38BE">
        <w:trPr>
          <w:trHeight w:val="305"/>
        </w:trPr>
        <w:tc>
          <w:tcPr>
            <w:tcW w:w="7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ind w:firstLine="4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2017年应届毕业生需求表</w:t>
            </w:r>
          </w:p>
        </w:tc>
      </w:tr>
      <w:tr w:rsidR="00CF38BE" w:rsidRPr="002B6A25" w:rsidTr="00CF38BE">
        <w:trPr>
          <w:trHeight w:val="26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专业需求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</w:tr>
      <w:tr w:rsidR="00CF38BE" w:rsidRPr="002B6A25" w:rsidTr="00CF38BE">
        <w:trPr>
          <w:trHeight w:val="262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E" w:rsidRPr="002B6A25" w:rsidRDefault="00CF38BE" w:rsidP="007171F4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E" w:rsidRPr="002B6A25" w:rsidRDefault="00CF38BE" w:rsidP="007171F4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BE" w:rsidRPr="002B6A25" w:rsidRDefault="00CF38BE" w:rsidP="007171F4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神经病学专业/内科学/临床医学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临床医学/心血管内科/内科学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心律失常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临床医学/心血管内科/内科学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呼吸内科学/内科学/临床医学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内分泌科学/内科学/临床医学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消化内科学/内科学/临床医学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临床医学/医学影像诊断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普外科/外科学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泌尿外科学/外科学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肾内科学/内科学/临床医学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骨科学/外科学/临床医学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神经外科学/外科学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肿瘤学/内科专业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肿瘤外科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肿瘤学/肿瘤外科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新生儿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功能检查科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综合ICU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重症医学专业/内科学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重症医学/急诊急救医学/临床医学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高压氧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246353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62087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临床医院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2620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262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</w:t>
            </w:r>
            <w:r w:rsidR="00CF38BE"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2620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262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46353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246353" w:rsidRPr="002B6A25" w:rsidTr="00FE62DD">
        <w:trPr>
          <w:trHeight w:val="3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62087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细胞工程/细胞遗传学/医学细胞生物学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6353" w:rsidRPr="002B6A25" w:rsidTr="00FE62DD">
        <w:trPr>
          <w:trHeight w:val="32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3" w:rsidRPr="002B6A25" w:rsidRDefault="00246353" w:rsidP="007171F4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CF38BE" w:rsidRPr="002B6A25" w:rsidTr="00CF38BE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2620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262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护理学/高级护理/涉外护理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CF38BE" w:rsidRPr="002B6A25" w:rsidTr="00CF38BE">
        <w:trPr>
          <w:trHeight w:val="335"/>
        </w:trPr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7171F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B6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262087">
            <w:pPr>
              <w:jc w:val="center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3</w:t>
            </w:r>
            <w:r w:rsidR="00262087"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262087" w:rsidP="007171F4">
            <w:pPr>
              <w:jc w:val="center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BE" w:rsidRPr="002B6A25" w:rsidRDefault="00CF38BE" w:rsidP="00246353">
            <w:pPr>
              <w:jc w:val="center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 w:rsidRPr="002B6A25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8</w:t>
            </w:r>
            <w:r w:rsidR="00246353"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1</w:t>
            </w:r>
          </w:p>
        </w:tc>
      </w:tr>
    </w:tbl>
    <w:p w:rsidR="00CF38BE" w:rsidRDefault="00CF38BE" w:rsidP="00CF38BE">
      <w:pPr>
        <w:spacing w:line="380" w:lineRule="exact"/>
        <w:ind w:firstLineChars="400" w:firstLine="723"/>
        <w:jc w:val="left"/>
        <w:rPr>
          <w:rStyle w:val="btcontent1"/>
          <w:rFonts w:hAnsi="Verdana"/>
          <w:b/>
          <w:sz w:val="18"/>
          <w:szCs w:val="18"/>
        </w:rPr>
      </w:pPr>
    </w:p>
    <w:p w:rsidR="00B27F20" w:rsidRDefault="00B27F20" w:rsidP="00CF38BE">
      <w:pPr>
        <w:spacing w:line="380" w:lineRule="exact"/>
        <w:ind w:firstLineChars="400" w:firstLine="723"/>
        <w:jc w:val="left"/>
        <w:rPr>
          <w:rStyle w:val="btcontent1"/>
          <w:rFonts w:hAnsi="Verdana"/>
          <w:b/>
          <w:sz w:val="18"/>
          <w:szCs w:val="18"/>
        </w:rPr>
      </w:pPr>
    </w:p>
    <w:p w:rsidR="00B27F20" w:rsidRDefault="00B27F20" w:rsidP="00CF38BE">
      <w:pPr>
        <w:spacing w:line="380" w:lineRule="exact"/>
        <w:ind w:firstLineChars="400" w:firstLine="723"/>
        <w:jc w:val="left"/>
        <w:rPr>
          <w:rStyle w:val="btcontent1"/>
          <w:rFonts w:hAnsi="Verdana"/>
          <w:b/>
          <w:sz w:val="18"/>
          <w:szCs w:val="18"/>
        </w:rPr>
      </w:pPr>
    </w:p>
    <w:p w:rsidR="00B27F20" w:rsidRDefault="00B27F20" w:rsidP="00CF38BE">
      <w:pPr>
        <w:spacing w:line="380" w:lineRule="exact"/>
        <w:ind w:firstLineChars="400" w:firstLine="723"/>
        <w:jc w:val="left"/>
        <w:rPr>
          <w:rStyle w:val="btcontent1"/>
          <w:rFonts w:hAnsi="Verdana"/>
          <w:b/>
          <w:sz w:val="18"/>
          <w:szCs w:val="18"/>
        </w:rPr>
      </w:pPr>
    </w:p>
    <w:p w:rsidR="00B27F20" w:rsidRPr="00D31D9F" w:rsidRDefault="00B27F20" w:rsidP="00B27F20">
      <w:pPr>
        <w:spacing w:line="360" w:lineRule="auto"/>
        <w:jc w:val="center"/>
        <w:rPr>
          <w:b/>
          <w:color w:val="000000"/>
          <w:szCs w:val="21"/>
          <w:shd w:val="clear" w:color="auto" w:fill="FFFFFF"/>
        </w:rPr>
      </w:pPr>
      <w:r w:rsidRPr="00D31D9F">
        <w:rPr>
          <w:rFonts w:hint="eastAsia"/>
          <w:b/>
          <w:color w:val="000000"/>
          <w:szCs w:val="21"/>
          <w:shd w:val="clear" w:color="auto" w:fill="FFFFFF"/>
        </w:rPr>
        <w:t>应届生薪酬待遇</w:t>
      </w:r>
    </w:p>
    <w:tbl>
      <w:tblPr>
        <w:tblStyle w:val="a8"/>
        <w:tblW w:w="8755" w:type="dxa"/>
        <w:tblInd w:w="508" w:type="dxa"/>
        <w:tblLook w:val="04A0"/>
      </w:tblPr>
      <w:tblGrid>
        <w:gridCol w:w="1101"/>
        <w:gridCol w:w="1417"/>
        <w:gridCol w:w="1701"/>
        <w:gridCol w:w="1985"/>
        <w:gridCol w:w="2551"/>
      </w:tblGrid>
      <w:tr w:rsidR="00B27F20" w:rsidRPr="006855F5" w:rsidTr="00B27F20">
        <w:tc>
          <w:tcPr>
            <w:tcW w:w="1101" w:type="dxa"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 w:rsidRPr="006855F5">
              <w:rPr>
                <w:rFonts w:asciiTheme="minorEastAsia" w:hAnsiTheme="minorEastAsia" w:cs="华文楷体" w:hint="eastAsia"/>
                <w:b/>
                <w:bCs/>
                <w:szCs w:val="21"/>
              </w:rPr>
              <w:t>类别</w:t>
            </w:r>
          </w:p>
        </w:tc>
        <w:tc>
          <w:tcPr>
            <w:tcW w:w="1417" w:type="dxa"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 w:rsidRPr="006855F5">
              <w:rPr>
                <w:rFonts w:asciiTheme="minorEastAsia" w:hAnsiTheme="minorEastAsia" w:cs="华文楷体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>
              <w:rPr>
                <w:rFonts w:asciiTheme="minorEastAsia" w:hAnsiTheme="minorEastAsia" w:cs="华文楷体" w:hint="eastAsia"/>
                <w:b/>
                <w:bCs/>
                <w:szCs w:val="21"/>
              </w:rPr>
              <w:t>基本工资</w:t>
            </w:r>
          </w:p>
        </w:tc>
        <w:tc>
          <w:tcPr>
            <w:tcW w:w="1985" w:type="dxa"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>
              <w:rPr>
                <w:rFonts w:asciiTheme="minorEastAsia" w:hAnsiTheme="minorEastAsia" w:cs="华文楷体" w:hint="eastAsia"/>
                <w:b/>
                <w:bCs/>
                <w:szCs w:val="21"/>
              </w:rPr>
              <w:t>绩效</w:t>
            </w:r>
          </w:p>
        </w:tc>
        <w:tc>
          <w:tcPr>
            <w:tcW w:w="2551" w:type="dxa"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>
              <w:rPr>
                <w:rFonts w:asciiTheme="minorEastAsia" w:hAnsiTheme="minorEastAsia" w:cs="华文楷体" w:hint="eastAsia"/>
                <w:b/>
                <w:bCs/>
                <w:szCs w:val="21"/>
              </w:rPr>
              <w:t>补充福利</w:t>
            </w: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Merge w:val="restart"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 w:rsidRPr="00154439">
              <w:rPr>
                <w:rFonts w:asciiTheme="minorEastAsia" w:hAnsiTheme="minorEastAsia" w:cs="华文楷体" w:hint="eastAsia"/>
                <w:b/>
                <w:bCs/>
                <w:szCs w:val="21"/>
              </w:rPr>
              <w:t>临床</w:t>
            </w: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4000元/月</w:t>
            </w:r>
          </w:p>
        </w:tc>
        <w:tc>
          <w:tcPr>
            <w:tcW w:w="1985" w:type="dxa"/>
            <w:vMerge w:val="restart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按医院相关政策</w:t>
            </w:r>
          </w:p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</w:t>
            </w:r>
          </w:p>
        </w:tc>
        <w:tc>
          <w:tcPr>
            <w:tcW w:w="2551" w:type="dxa"/>
            <w:vMerge w:val="restart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医院解决食宿、人事档案存放、落户，按国家规定缴纳社保，博士人员享受医院预付住房基金30万/人，以及科研启动资金</w:t>
            </w: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Merge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7000元/月</w:t>
            </w:r>
          </w:p>
        </w:tc>
        <w:tc>
          <w:tcPr>
            <w:tcW w:w="1985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Merge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12000元/月</w:t>
            </w:r>
          </w:p>
        </w:tc>
        <w:tc>
          <w:tcPr>
            <w:tcW w:w="1985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Merge w:val="restart"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 w:rsidRPr="00154439">
              <w:rPr>
                <w:rFonts w:asciiTheme="minorEastAsia" w:hAnsiTheme="minorEastAsia" w:cs="华文楷体" w:hint="eastAsia"/>
                <w:b/>
                <w:bCs/>
                <w:szCs w:val="21"/>
              </w:rPr>
              <w:t>技师</w:t>
            </w: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3500元/月</w:t>
            </w:r>
          </w:p>
        </w:tc>
        <w:tc>
          <w:tcPr>
            <w:tcW w:w="1985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Merge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6000元/月</w:t>
            </w:r>
          </w:p>
        </w:tc>
        <w:tc>
          <w:tcPr>
            <w:tcW w:w="1985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</w:tr>
      <w:tr w:rsidR="00B27F20" w:rsidRPr="006855F5" w:rsidTr="00B27F20">
        <w:trPr>
          <w:trHeight w:val="227"/>
        </w:trPr>
        <w:tc>
          <w:tcPr>
            <w:tcW w:w="1101" w:type="dxa"/>
            <w:vAlign w:val="center"/>
          </w:tcPr>
          <w:p w:rsidR="00B27F20" w:rsidRPr="00154439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/>
                <w:bCs/>
                <w:szCs w:val="21"/>
              </w:rPr>
            </w:pPr>
            <w:r w:rsidRPr="00154439">
              <w:rPr>
                <w:rFonts w:asciiTheme="minorEastAsia" w:hAnsiTheme="minorEastAsia" w:cs="华文楷体" w:hint="eastAsia"/>
                <w:b/>
                <w:bCs/>
                <w:szCs w:val="21"/>
              </w:rPr>
              <w:t>护理</w:t>
            </w:r>
          </w:p>
        </w:tc>
        <w:tc>
          <w:tcPr>
            <w:tcW w:w="1417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vAlign w:val="center"/>
          </w:tcPr>
          <w:p w:rsidR="00B27F20" w:rsidRPr="00B27F20" w:rsidRDefault="00B27F20" w:rsidP="00B27F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7F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2500元/月</w:t>
            </w:r>
          </w:p>
        </w:tc>
        <w:tc>
          <w:tcPr>
            <w:tcW w:w="1985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B27F20" w:rsidRPr="006855F5" w:rsidRDefault="00B27F20" w:rsidP="00036AAB">
            <w:pPr>
              <w:widowControl/>
              <w:spacing w:line="400" w:lineRule="exact"/>
              <w:jc w:val="center"/>
              <w:rPr>
                <w:rFonts w:asciiTheme="minorEastAsia" w:hAnsiTheme="minorEastAsia" w:cs="华文楷体"/>
                <w:bCs/>
                <w:szCs w:val="21"/>
              </w:rPr>
            </w:pPr>
          </w:p>
        </w:tc>
      </w:tr>
    </w:tbl>
    <w:p w:rsidR="00B27F20" w:rsidRDefault="00B27F20" w:rsidP="00B27F20">
      <w:pPr>
        <w:spacing w:line="360" w:lineRule="auto"/>
        <w:rPr>
          <w:rFonts w:ascii="Calibri" w:eastAsia="宋体" w:hAnsi="Calibri" w:cs="Times New Roman"/>
          <w:b/>
          <w:bCs/>
          <w:sz w:val="24"/>
          <w:szCs w:val="24"/>
        </w:rPr>
      </w:pPr>
    </w:p>
    <w:p w:rsidR="00B27F20" w:rsidRDefault="00B27F20" w:rsidP="00B27F20">
      <w:pPr>
        <w:spacing w:line="360" w:lineRule="auto"/>
        <w:rPr>
          <w:rFonts w:ascii="Calibri" w:eastAsia="宋体" w:hAnsi="Calibri" w:cs="Times New Roman"/>
          <w:b/>
          <w:bCs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报名方式：</w:t>
      </w:r>
    </w:p>
    <w:p w:rsidR="00B27F20" w:rsidRPr="00D31D9F" w:rsidRDefault="00B27F20" w:rsidP="00B27F20">
      <w:pPr>
        <w:spacing w:line="360" w:lineRule="auto"/>
        <w:ind w:firstLineChars="150" w:firstLine="361"/>
        <w:rPr>
          <w:rFonts w:ascii="Calibri" w:eastAsia="宋体" w:hAnsi="Calibri" w:cs="Times New Roman"/>
          <w:b/>
          <w:bCs/>
          <w:sz w:val="24"/>
          <w:szCs w:val="24"/>
        </w:rPr>
      </w:pPr>
      <w:r w:rsidRPr="00D31D9F">
        <w:rPr>
          <w:rFonts w:ascii="Calibri" w:eastAsia="宋体" w:hAnsi="Calibri" w:cs="Times New Roman" w:hint="eastAsia"/>
          <w:b/>
          <w:bCs/>
          <w:sz w:val="24"/>
          <w:szCs w:val="24"/>
        </w:rPr>
        <w:t>电子邮件报名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D31D9F">
        <w:rPr>
          <w:rFonts w:ascii="Calibri" w:eastAsia="宋体" w:hAnsi="Calibri" w:cs="Times New Roman" w:hint="eastAsia"/>
          <w:bCs/>
          <w:sz w:val="24"/>
          <w:szCs w:val="24"/>
        </w:rPr>
        <w:t xml:space="preserve">　　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邮件地址：hr_yanda@126.com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　　邮件主题：应聘岗位+应聘科室+姓名+最高学历（如：住院医师-消化内科-赵磊-硕士）</w:t>
      </w:r>
    </w:p>
    <w:p w:rsidR="00B27F20" w:rsidRPr="00B27F20" w:rsidRDefault="00B27F20" w:rsidP="00B27F20">
      <w:pPr>
        <w:spacing w:line="360" w:lineRule="auto"/>
        <w:ind w:firstLine="480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简历请用附件形式上传，附件名称应与邮件主题相同（同：住院医师-消化内科-赵磊-硕士）</w:t>
      </w:r>
    </w:p>
    <w:p w:rsidR="00B27F20" w:rsidRDefault="00B27F20" w:rsidP="00B27F20">
      <w:pPr>
        <w:spacing w:line="360" w:lineRule="auto"/>
        <w:ind w:firstLine="480"/>
        <w:rPr>
          <w:rFonts w:ascii="Calibri" w:eastAsia="宋体" w:hAnsi="Calibri" w:cs="Times New Roman"/>
          <w:bCs/>
          <w:sz w:val="24"/>
          <w:szCs w:val="24"/>
        </w:rPr>
      </w:pPr>
    </w:p>
    <w:p w:rsidR="00B27F20" w:rsidRDefault="00B27F20" w:rsidP="00B27F20">
      <w:pPr>
        <w:spacing w:line="360" w:lineRule="auto"/>
        <w:rPr>
          <w:rFonts w:ascii="Calibri" w:eastAsia="宋体" w:hAnsi="Calibri" w:cs="Times New Roman"/>
          <w:b/>
          <w:bCs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医院地址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 xml:space="preserve">   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  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燕达医院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人力资源部</w:t>
      </w:r>
    </w:p>
    <w:p w:rsidR="00B27F20" w:rsidRPr="00B27F20" w:rsidRDefault="00B27F20" w:rsidP="00B27F20">
      <w:pPr>
        <w:spacing w:line="360" w:lineRule="auto"/>
        <w:ind w:leftChars="200" w:left="420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 来院路线：外省市应聘者请乘坐高铁/动车抵达北京，转乘北京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地铁1号线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，在大望路站下车，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B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口出东行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200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米左右，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乘815、817公交车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，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大约30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分钟车程。在燕郊兴达广场小区站下车，彩虹桥路口往南，沿思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菩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兰路向南步行</w:t>
      </w:r>
      <w:r w:rsidRPr="00B27F20">
        <w:rPr>
          <w:rStyle w:val="btcontent1"/>
          <w:rFonts w:ascii="仿宋_GB2312" w:eastAsia="仿宋_GB2312" w:hAnsi="Verdana"/>
          <w:color w:val="auto"/>
          <w:sz w:val="24"/>
          <w:szCs w:val="24"/>
        </w:rPr>
        <w:t>300</w:t>
      </w: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米即可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到达燕达医院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。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进入燕达医院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门诊大厅咨询前台客服人员如何到达医院人力资源部办公室即可。</w:t>
      </w:r>
    </w:p>
    <w:p w:rsidR="00B27F20" w:rsidRPr="00B91368" w:rsidRDefault="00B27F20" w:rsidP="00B27F20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</w:p>
    <w:p w:rsidR="00B27F20" w:rsidRPr="006855F5" w:rsidRDefault="00B27F20" w:rsidP="00B27F20">
      <w:pPr>
        <w:widowControl/>
        <w:spacing w:line="400" w:lineRule="exact"/>
        <w:jc w:val="left"/>
        <w:rPr>
          <w:rFonts w:asciiTheme="minorEastAsia" w:hAnsiTheme="minorEastAsia" w:cs="华文楷体"/>
          <w:b/>
          <w:bCs/>
          <w:sz w:val="28"/>
          <w:szCs w:val="28"/>
        </w:rPr>
      </w:pPr>
      <w:r w:rsidRPr="006855F5">
        <w:rPr>
          <w:rFonts w:asciiTheme="minorEastAsia" w:hAnsiTheme="minorEastAsia" w:cs="华文楷体" w:hint="eastAsia"/>
          <w:b/>
          <w:bCs/>
          <w:sz w:val="28"/>
          <w:szCs w:val="28"/>
        </w:rPr>
        <w:t>联系方式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联系地址： 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河北省三河市燕郊开发区燕达国际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健康</w:t>
      </w:r>
      <w:proofErr w:type="gramStart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>城燕达</w:t>
      </w:r>
      <w:proofErr w:type="gramEnd"/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医院人力资源部                                                            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邮政编码： 065201                      联 系 人：李老师         </w:t>
      </w:r>
    </w:p>
    <w:p w:rsidR="00B27F20" w:rsidRPr="00B27F20" w:rsidRDefault="00B27F20" w:rsidP="00B27F20">
      <w:pPr>
        <w:spacing w:line="360" w:lineRule="auto"/>
        <w:rPr>
          <w:rStyle w:val="btcontent1"/>
          <w:rFonts w:ascii="仿宋_GB2312" w:eastAsia="仿宋_GB2312" w:hAnsi="Verdana"/>
          <w:color w:val="auto"/>
          <w:sz w:val="24"/>
          <w:szCs w:val="24"/>
        </w:rPr>
      </w:pPr>
      <w:r w:rsidRPr="00B27F20">
        <w:rPr>
          <w:rStyle w:val="btcontent1"/>
          <w:rFonts w:ascii="仿宋_GB2312" w:eastAsia="仿宋_GB2312" w:hAnsi="Verdana" w:hint="eastAsia"/>
          <w:color w:val="auto"/>
          <w:sz w:val="24"/>
          <w:szCs w:val="24"/>
        </w:rPr>
        <w:t xml:space="preserve">联系电话： 010-80841240/80841256      电子邮箱： </w:t>
      </w:r>
      <w:hyperlink r:id="rId6" w:history="1">
        <w:r w:rsidRPr="00B27F20">
          <w:rPr>
            <w:rStyle w:val="btcontent1"/>
            <w:rFonts w:ascii="仿宋_GB2312" w:eastAsia="仿宋_GB2312" w:hAnsi="Verdana" w:hint="eastAsia"/>
            <w:color w:val="auto"/>
            <w:sz w:val="24"/>
            <w:szCs w:val="24"/>
          </w:rPr>
          <w:t>hr_yanda@126.com</w:t>
        </w:r>
      </w:hyperlink>
    </w:p>
    <w:p w:rsidR="00B27F20" w:rsidRPr="00B27F20" w:rsidRDefault="00B27F20" w:rsidP="00CF38BE">
      <w:pPr>
        <w:spacing w:line="380" w:lineRule="exact"/>
        <w:ind w:firstLineChars="400" w:firstLine="723"/>
        <w:jc w:val="left"/>
        <w:rPr>
          <w:rStyle w:val="btcontent1"/>
          <w:rFonts w:hAnsi="Verdana"/>
          <w:b/>
          <w:sz w:val="18"/>
          <w:szCs w:val="18"/>
        </w:rPr>
      </w:pPr>
    </w:p>
    <w:sectPr w:rsidR="00B27F20" w:rsidRPr="00B27F20" w:rsidSect="00E0033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C0" w:rsidRDefault="00AD09C0" w:rsidP="00395144">
      <w:r>
        <w:separator/>
      </w:r>
    </w:p>
  </w:endnote>
  <w:endnote w:type="continuationSeparator" w:id="0">
    <w:p w:rsidR="00AD09C0" w:rsidRDefault="00AD09C0" w:rsidP="003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C0" w:rsidRDefault="00AD09C0" w:rsidP="00395144">
      <w:r>
        <w:separator/>
      </w:r>
    </w:p>
  </w:footnote>
  <w:footnote w:type="continuationSeparator" w:id="0">
    <w:p w:rsidR="00AD09C0" w:rsidRDefault="00AD09C0" w:rsidP="003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91" w:rsidRPr="0094394A" w:rsidRDefault="00496591" w:rsidP="00496591">
    <w:pPr>
      <w:ind w:right="180" w:firstLineChars="3150" w:firstLine="5670"/>
      <w:jc w:val="right"/>
      <w:rPr>
        <w:rFonts w:ascii="微软雅黑" w:eastAsia="微软雅黑" w:hAnsi="微软雅黑"/>
        <w:sz w:val="18"/>
        <w:szCs w:val="18"/>
      </w:rPr>
    </w:pPr>
    <w:r>
      <w:rPr>
        <w:rFonts w:ascii="微软雅黑" w:eastAsia="微软雅黑" w:hAnsi="微软雅黑" w:hint="eastAsi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-187960</wp:posOffset>
          </wp:positionV>
          <wp:extent cx="1231900" cy="333375"/>
          <wp:effectExtent l="19050" t="0" r="635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18"/>
        <w:szCs w:val="18"/>
      </w:rPr>
      <w:t>燕翔五洲 达仁济世</w:t>
    </w:r>
  </w:p>
  <w:p w:rsidR="00496591" w:rsidRDefault="00496591" w:rsidP="00BA47DD">
    <w:pPr>
      <w:pStyle w:val="a3"/>
      <w:pBdr>
        <w:bottom w:val="single" w:sz="6" w:space="2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0C"/>
    <w:rsid w:val="000411A1"/>
    <w:rsid w:val="00067D14"/>
    <w:rsid w:val="0007690C"/>
    <w:rsid w:val="00093F56"/>
    <w:rsid w:val="000B3E50"/>
    <w:rsid w:val="000C1C49"/>
    <w:rsid w:val="000C5C62"/>
    <w:rsid w:val="000F2782"/>
    <w:rsid w:val="00146239"/>
    <w:rsid w:val="00174AF6"/>
    <w:rsid w:val="0018477A"/>
    <w:rsid w:val="001852BB"/>
    <w:rsid w:val="001D1D91"/>
    <w:rsid w:val="0020309D"/>
    <w:rsid w:val="00210DE0"/>
    <w:rsid w:val="00227E16"/>
    <w:rsid w:val="002320A3"/>
    <w:rsid w:val="00246353"/>
    <w:rsid w:val="00260675"/>
    <w:rsid w:val="00262087"/>
    <w:rsid w:val="00265BEC"/>
    <w:rsid w:val="002660D9"/>
    <w:rsid w:val="002911FF"/>
    <w:rsid w:val="00310934"/>
    <w:rsid w:val="00315053"/>
    <w:rsid w:val="0033374F"/>
    <w:rsid w:val="00342015"/>
    <w:rsid w:val="00395144"/>
    <w:rsid w:val="003A1FF3"/>
    <w:rsid w:val="003A59AC"/>
    <w:rsid w:val="003A625F"/>
    <w:rsid w:val="003C515A"/>
    <w:rsid w:val="003D0F89"/>
    <w:rsid w:val="003E5C00"/>
    <w:rsid w:val="003F0C4C"/>
    <w:rsid w:val="00427DEC"/>
    <w:rsid w:val="00455F9D"/>
    <w:rsid w:val="004935FA"/>
    <w:rsid w:val="00496591"/>
    <w:rsid w:val="004A349E"/>
    <w:rsid w:val="004A3EC3"/>
    <w:rsid w:val="004F4747"/>
    <w:rsid w:val="005063E3"/>
    <w:rsid w:val="00513676"/>
    <w:rsid w:val="005142E1"/>
    <w:rsid w:val="00515552"/>
    <w:rsid w:val="005569E9"/>
    <w:rsid w:val="005A13EE"/>
    <w:rsid w:val="005C359A"/>
    <w:rsid w:val="00634B4D"/>
    <w:rsid w:val="00664893"/>
    <w:rsid w:val="00687630"/>
    <w:rsid w:val="006A7B98"/>
    <w:rsid w:val="006F2143"/>
    <w:rsid w:val="00705189"/>
    <w:rsid w:val="007134E3"/>
    <w:rsid w:val="007151F2"/>
    <w:rsid w:val="00715F7F"/>
    <w:rsid w:val="0075494C"/>
    <w:rsid w:val="00786BB0"/>
    <w:rsid w:val="007908C0"/>
    <w:rsid w:val="0079242D"/>
    <w:rsid w:val="007964BB"/>
    <w:rsid w:val="007B3376"/>
    <w:rsid w:val="007C1252"/>
    <w:rsid w:val="0082499C"/>
    <w:rsid w:val="00844044"/>
    <w:rsid w:val="00860504"/>
    <w:rsid w:val="0086429A"/>
    <w:rsid w:val="00872966"/>
    <w:rsid w:val="008831E4"/>
    <w:rsid w:val="00887B10"/>
    <w:rsid w:val="00892909"/>
    <w:rsid w:val="008A596A"/>
    <w:rsid w:val="008A7372"/>
    <w:rsid w:val="008B2F07"/>
    <w:rsid w:val="008D7B2D"/>
    <w:rsid w:val="008F3D5C"/>
    <w:rsid w:val="00913684"/>
    <w:rsid w:val="00961D1A"/>
    <w:rsid w:val="009D7A7D"/>
    <w:rsid w:val="00A24551"/>
    <w:rsid w:val="00A35B98"/>
    <w:rsid w:val="00A61021"/>
    <w:rsid w:val="00A82351"/>
    <w:rsid w:val="00A93A2B"/>
    <w:rsid w:val="00AC008D"/>
    <w:rsid w:val="00AD09C0"/>
    <w:rsid w:val="00AE59A3"/>
    <w:rsid w:val="00AF00A3"/>
    <w:rsid w:val="00AF18A8"/>
    <w:rsid w:val="00B0541C"/>
    <w:rsid w:val="00B201EC"/>
    <w:rsid w:val="00B27F20"/>
    <w:rsid w:val="00B3125D"/>
    <w:rsid w:val="00B9700C"/>
    <w:rsid w:val="00BA47DD"/>
    <w:rsid w:val="00BA5EAE"/>
    <w:rsid w:val="00BB16CA"/>
    <w:rsid w:val="00BB36E3"/>
    <w:rsid w:val="00BB4888"/>
    <w:rsid w:val="00BC5618"/>
    <w:rsid w:val="00BD7E19"/>
    <w:rsid w:val="00C00F83"/>
    <w:rsid w:val="00C31BC0"/>
    <w:rsid w:val="00C5236F"/>
    <w:rsid w:val="00C93DA6"/>
    <w:rsid w:val="00C95D13"/>
    <w:rsid w:val="00C970F0"/>
    <w:rsid w:val="00CC0781"/>
    <w:rsid w:val="00CF38BE"/>
    <w:rsid w:val="00D1027A"/>
    <w:rsid w:val="00D523EB"/>
    <w:rsid w:val="00D746EA"/>
    <w:rsid w:val="00D771A9"/>
    <w:rsid w:val="00DA5834"/>
    <w:rsid w:val="00DE4384"/>
    <w:rsid w:val="00E00333"/>
    <w:rsid w:val="00E05C6F"/>
    <w:rsid w:val="00E24EC7"/>
    <w:rsid w:val="00E41913"/>
    <w:rsid w:val="00E72C04"/>
    <w:rsid w:val="00F013D7"/>
    <w:rsid w:val="00F361F3"/>
    <w:rsid w:val="00F64B6E"/>
    <w:rsid w:val="00F7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144"/>
    <w:rPr>
      <w:sz w:val="18"/>
      <w:szCs w:val="18"/>
    </w:rPr>
  </w:style>
  <w:style w:type="character" w:customStyle="1" w:styleId="btcontent1">
    <w:name w:val="bt_content1"/>
    <w:basedOn w:val="a0"/>
    <w:rsid w:val="00455F9D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List Paragraph"/>
    <w:basedOn w:val="a"/>
    <w:uiPriority w:val="34"/>
    <w:qFormat/>
    <w:rsid w:val="00455F9D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Emphasis"/>
    <w:basedOn w:val="a0"/>
    <w:uiPriority w:val="20"/>
    <w:qFormat/>
    <w:rsid w:val="00BB4888"/>
    <w:rPr>
      <w:i/>
      <w:iCs/>
    </w:rPr>
  </w:style>
  <w:style w:type="character" w:styleId="a7">
    <w:name w:val="Hyperlink"/>
    <w:basedOn w:val="a0"/>
    <w:rsid w:val="00B27F20"/>
    <w:rPr>
      <w:color w:val="0000FF"/>
      <w:u w:val="single"/>
    </w:rPr>
  </w:style>
  <w:style w:type="table" w:styleId="a8">
    <w:name w:val="Table Grid"/>
    <w:basedOn w:val="a1"/>
    <w:uiPriority w:val="59"/>
    <w:rsid w:val="00B27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_yanda@126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364</Words>
  <Characters>2076</Characters>
  <Application>Microsoft Office Word</Application>
  <DocSecurity>0</DocSecurity>
  <Lines>17</Lines>
  <Paragraphs>4</Paragraphs>
  <ScaleCrop>false</ScaleCrop>
  <Company>微软中国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aaa</cp:lastModifiedBy>
  <cp:revision>14</cp:revision>
  <cp:lastPrinted>2016-10-21T07:21:00Z</cp:lastPrinted>
  <dcterms:created xsi:type="dcterms:W3CDTF">2016-10-19T01:33:00Z</dcterms:created>
  <dcterms:modified xsi:type="dcterms:W3CDTF">2017-03-01T07:45:00Z</dcterms:modified>
</cp:coreProperties>
</file>