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78" w:rsidRDefault="00782678" w:rsidP="00782678">
      <w:pPr>
        <w:rPr>
          <w:rFonts w:ascii="宋体" w:hAnsi="宋体" w:hint="eastAsia"/>
          <w:color w:val="333333"/>
          <w:sz w:val="28"/>
          <w:szCs w:val="28"/>
        </w:rPr>
      </w:pPr>
      <w:r w:rsidRPr="004F5D04">
        <w:rPr>
          <w:rFonts w:ascii="宋体" w:hAnsi="宋体" w:cs="宋体" w:hint="eastAsia"/>
          <w:kern w:val="0"/>
          <w:sz w:val="28"/>
          <w:szCs w:val="28"/>
        </w:rPr>
        <w:t>附件</w:t>
      </w:r>
      <w:r>
        <w:rPr>
          <w:rFonts w:ascii="宋体" w:hAnsi="宋体" w:cs="宋体" w:hint="eastAsia"/>
          <w:kern w:val="0"/>
          <w:sz w:val="28"/>
          <w:szCs w:val="28"/>
        </w:rPr>
        <w:t>2</w:t>
      </w:r>
      <w:r w:rsidRPr="004F5D04">
        <w:rPr>
          <w:rFonts w:ascii="宋体" w:hAnsi="宋体" w:cs="宋体" w:hint="eastAsia"/>
          <w:kern w:val="0"/>
          <w:sz w:val="28"/>
          <w:szCs w:val="28"/>
        </w:rPr>
        <w:t>：</w:t>
      </w:r>
    </w:p>
    <w:p w:rsidR="00782678" w:rsidRDefault="00782678" w:rsidP="00782678">
      <w:pPr>
        <w:jc w:val="center"/>
        <w:rPr>
          <w:rFonts w:ascii="宋体" w:hAnsi="宋体" w:hint="eastAsia"/>
          <w:b/>
          <w:color w:val="333333"/>
          <w:sz w:val="28"/>
          <w:szCs w:val="28"/>
        </w:rPr>
      </w:pPr>
      <w:r w:rsidRPr="00682844">
        <w:rPr>
          <w:rFonts w:ascii="宋体" w:hAnsi="宋体"/>
          <w:b/>
          <w:color w:val="333333"/>
          <w:sz w:val="28"/>
          <w:szCs w:val="28"/>
        </w:rPr>
        <w:t>201</w:t>
      </w:r>
      <w:r>
        <w:rPr>
          <w:rFonts w:ascii="宋体" w:hAnsi="宋体" w:hint="eastAsia"/>
          <w:b/>
          <w:color w:val="333333"/>
          <w:sz w:val="28"/>
          <w:szCs w:val="28"/>
        </w:rPr>
        <w:t>5</w:t>
      </w:r>
      <w:r w:rsidRPr="00682844">
        <w:rPr>
          <w:rFonts w:ascii="宋体" w:hAnsi="宋体"/>
          <w:b/>
          <w:color w:val="333333"/>
          <w:sz w:val="28"/>
          <w:szCs w:val="28"/>
        </w:rPr>
        <w:t>年度医学部大学生创新实验项目立项名单</w:t>
      </w:r>
    </w:p>
    <w:tbl>
      <w:tblPr>
        <w:tblW w:w="825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103"/>
        <w:gridCol w:w="1134"/>
        <w:gridCol w:w="1167"/>
      </w:tblGrid>
      <w:tr w:rsidR="00782678" w:rsidRPr="00682844" w:rsidTr="0027230C">
        <w:trPr>
          <w:trHeight w:val="555"/>
          <w:jc w:val="center"/>
        </w:trPr>
        <w:tc>
          <w:tcPr>
            <w:tcW w:w="851" w:type="dxa"/>
            <w:shd w:val="clear" w:color="auto" w:fill="auto"/>
            <w:vAlign w:val="center"/>
            <w:hideMark/>
          </w:tcPr>
          <w:p w:rsidR="00782678" w:rsidRPr="00682844" w:rsidRDefault="00782678" w:rsidP="0027230C">
            <w:pPr>
              <w:widowControl/>
              <w:jc w:val="center"/>
              <w:rPr>
                <w:rFonts w:ascii="宋体" w:hAnsi="宋体" w:cs="宋体"/>
                <w:b/>
                <w:bCs/>
                <w:kern w:val="0"/>
                <w:sz w:val="24"/>
              </w:rPr>
            </w:pPr>
            <w:r w:rsidRPr="00682844">
              <w:rPr>
                <w:rFonts w:ascii="宋体" w:hAnsi="宋体" w:cs="宋体" w:hint="eastAsia"/>
                <w:b/>
                <w:bCs/>
                <w:kern w:val="0"/>
                <w:sz w:val="24"/>
              </w:rPr>
              <w:t>项目编号</w:t>
            </w:r>
          </w:p>
        </w:tc>
        <w:tc>
          <w:tcPr>
            <w:tcW w:w="5103" w:type="dxa"/>
            <w:shd w:val="clear" w:color="auto" w:fill="auto"/>
            <w:vAlign w:val="center"/>
            <w:hideMark/>
          </w:tcPr>
          <w:p w:rsidR="00782678" w:rsidRPr="00682844" w:rsidRDefault="00782678" w:rsidP="0027230C">
            <w:pPr>
              <w:widowControl/>
              <w:jc w:val="center"/>
              <w:rPr>
                <w:rFonts w:ascii="宋体" w:hAnsi="宋体" w:cs="宋体"/>
                <w:b/>
                <w:bCs/>
                <w:kern w:val="0"/>
                <w:sz w:val="24"/>
              </w:rPr>
            </w:pPr>
            <w:r w:rsidRPr="00682844">
              <w:rPr>
                <w:rFonts w:ascii="宋体" w:hAnsi="宋体" w:cs="宋体" w:hint="eastAsia"/>
                <w:b/>
                <w:bCs/>
                <w:kern w:val="0"/>
                <w:sz w:val="24"/>
              </w:rPr>
              <w:t>项目名称</w:t>
            </w:r>
          </w:p>
        </w:tc>
        <w:tc>
          <w:tcPr>
            <w:tcW w:w="1134" w:type="dxa"/>
            <w:shd w:val="clear" w:color="auto" w:fill="auto"/>
            <w:vAlign w:val="center"/>
            <w:hideMark/>
          </w:tcPr>
          <w:p w:rsidR="00782678" w:rsidRPr="00682844" w:rsidRDefault="00782678" w:rsidP="0027230C">
            <w:pPr>
              <w:widowControl/>
              <w:jc w:val="center"/>
              <w:rPr>
                <w:rFonts w:ascii="宋体" w:hAnsi="宋体" w:cs="宋体"/>
                <w:b/>
                <w:bCs/>
                <w:kern w:val="0"/>
                <w:sz w:val="24"/>
              </w:rPr>
            </w:pPr>
            <w:r w:rsidRPr="00682844">
              <w:rPr>
                <w:rFonts w:ascii="宋体" w:hAnsi="宋体" w:cs="宋体" w:hint="eastAsia"/>
                <w:b/>
                <w:bCs/>
                <w:kern w:val="0"/>
                <w:sz w:val="24"/>
              </w:rPr>
              <w:t>项目负责人</w:t>
            </w:r>
          </w:p>
        </w:tc>
        <w:tc>
          <w:tcPr>
            <w:tcW w:w="1167" w:type="dxa"/>
            <w:shd w:val="clear" w:color="auto" w:fill="auto"/>
            <w:vAlign w:val="center"/>
            <w:hideMark/>
          </w:tcPr>
          <w:p w:rsidR="00782678" w:rsidRPr="00682844" w:rsidRDefault="00782678" w:rsidP="0027230C">
            <w:pPr>
              <w:widowControl/>
              <w:jc w:val="center"/>
              <w:rPr>
                <w:rFonts w:ascii="宋体" w:hAnsi="宋体" w:cs="宋体" w:hint="eastAsia"/>
                <w:b/>
                <w:bCs/>
                <w:kern w:val="0"/>
                <w:sz w:val="24"/>
              </w:rPr>
            </w:pPr>
            <w:r w:rsidRPr="00682844">
              <w:rPr>
                <w:rFonts w:ascii="宋体" w:hAnsi="宋体" w:cs="宋体" w:hint="eastAsia"/>
                <w:b/>
                <w:bCs/>
                <w:kern w:val="0"/>
                <w:sz w:val="24"/>
              </w:rPr>
              <w:t>指导</w:t>
            </w:r>
          </w:p>
          <w:p w:rsidR="00782678" w:rsidRPr="00682844" w:rsidRDefault="00782678" w:rsidP="0027230C">
            <w:pPr>
              <w:widowControl/>
              <w:jc w:val="center"/>
              <w:rPr>
                <w:rFonts w:ascii="宋体" w:hAnsi="宋体" w:cs="宋体"/>
                <w:b/>
                <w:bCs/>
                <w:kern w:val="0"/>
                <w:sz w:val="24"/>
              </w:rPr>
            </w:pPr>
            <w:r w:rsidRPr="00682844">
              <w:rPr>
                <w:rFonts w:ascii="宋体" w:hAnsi="宋体" w:cs="宋体" w:hint="eastAsia"/>
                <w:b/>
                <w:bCs/>
                <w:kern w:val="0"/>
                <w:sz w:val="24"/>
              </w:rPr>
              <w:t>老师</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L14</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炎症性肠病患者的生存质量及其影响因素调查</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张颖</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陈宁</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L13</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干燥综合征的干眼症</w:t>
            </w:r>
            <w:r>
              <w:rPr>
                <w:rFonts w:hint="eastAsia"/>
              </w:rPr>
              <w:t>McMonnie</w:t>
            </w:r>
            <w:r>
              <w:rPr>
                <w:rFonts w:hint="eastAsia"/>
              </w:rPr>
              <w:t>评分和免疫学特点研究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张亦文</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何菁</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L02</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公民逝世后器官捐献现状和民众认知度调查</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黄子雄</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高鹏骥</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L11</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不同胎龄新生儿血</w:t>
            </w:r>
            <w:r>
              <w:rPr>
                <w:rFonts w:hint="eastAsia"/>
              </w:rPr>
              <w:t>leptin</w:t>
            </w:r>
            <w:r>
              <w:rPr>
                <w:rFonts w:hint="eastAsia"/>
              </w:rPr>
              <w:t>和</w:t>
            </w:r>
            <w:r>
              <w:rPr>
                <w:rFonts w:hint="eastAsia"/>
              </w:rPr>
              <w:t>ghrelin</w:t>
            </w:r>
            <w:r>
              <w:rPr>
                <w:rFonts w:hint="eastAsia"/>
              </w:rPr>
              <w:t>浓度与其生长发育的相关性研究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尹露</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张晓蕊</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L16</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氢气对不育症患者精子质量的影响</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祝丽宇</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鹿群</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L03</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化疗对乳腺癌患者认知功能影响的神经生理机制研究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林楚童</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刘淼</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D25</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北京市居民对冠心病相关知识认知程度的调查与干预</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王宇</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刘传芬</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D12</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“平行病历”在提升临床医学生人文素养中的应用</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李文睿</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刘彦国</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L01</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食物蛋白过敏婴儿过敏性疾病发生情况调查</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范久亿</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邢燕</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L07</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花粉预报浓度与过敏性鼻炎发病严重程度的相关性</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王楠</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朱丽</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L12</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危重孕产妇病情评估系统的建立与评价</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袁磊</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王永清</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S25</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胸腔镜辅助升主动脉套扎建立慢性左心衰竭动物模型的实验研究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杨嘉瑞</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张喆</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L08</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中国先天性双侧输精管缺如（</w:t>
            </w:r>
            <w:r>
              <w:rPr>
                <w:rFonts w:hint="eastAsia"/>
              </w:rPr>
              <w:t>CBAVD</w:t>
            </w:r>
            <w:r>
              <w:rPr>
                <w:rFonts w:hint="eastAsia"/>
              </w:rPr>
              <w:t>）患者中囊性纤维化跨膜转运蛋白（</w:t>
            </w:r>
            <w:r>
              <w:rPr>
                <w:rFonts w:hint="eastAsia"/>
              </w:rPr>
              <w:t>CFTR</w:t>
            </w:r>
            <w:r>
              <w:rPr>
                <w:rFonts w:hint="eastAsia"/>
              </w:rPr>
              <w:t>）基因突变类型及频率</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王亚魁</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赵连明</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S28</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肾细胞癌生物标记物探索性研究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周明新</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宋一萌</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L15</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曲美他嗪联合运动训练对急性心肌梗死患者运动耐量的影响</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周乐群</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陈少敏</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L04</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探究患者群体中男性更年期综合征的表现特点及其与代谢综合征的相关性</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林乐涛</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董爱梅</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D28</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探究选修双学位对北京大学生物医学英语专业本科生毕业后去向的影响</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魏佳</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王玥</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D07</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“以学生为本”的院系学生管理模式研究——以北京大学公共卫生学院为例</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高晓莹</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陈娟</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D24</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北京大学医学部临床专业学生全科医学选择意愿及影响因素分析</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王敏敏</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谢铮</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D34</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移动医疗</w:t>
            </w:r>
            <w:r>
              <w:rPr>
                <w:rFonts w:hint="eastAsia"/>
              </w:rPr>
              <w:t>APP</w:t>
            </w:r>
            <w:r>
              <w:rPr>
                <w:rFonts w:hint="eastAsia"/>
              </w:rPr>
              <w:t>自诊问诊功能的使用现状及可行性调查</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赵丽君</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常春</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lastRenderedPageBreak/>
              <w:t>S23</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不同有氧运动强度与新陈代谢热量消耗的关系——小鼠有氧实验</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吴博浩</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魏雪涛</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S26</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纳米二氧化钛对幼年大鼠肠道铁元素吸收的影响</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叶艺璇</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王云</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D26</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健康教育及干预对学龄前儿童常见病发生的影响</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王岳鑫</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余小鸣</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D08</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北京市部分高校饮用水口感满意度的调查与分析</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顾学琳</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崔蓉</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D16</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中国高校公共卫生学院师生对地理信息系统（</w:t>
            </w:r>
            <w:r>
              <w:rPr>
                <w:rFonts w:hint="eastAsia"/>
              </w:rPr>
              <w:t>GIS</w:t>
            </w:r>
            <w:r>
              <w:rPr>
                <w:rFonts w:hint="eastAsia"/>
              </w:rPr>
              <w:t>）与公共卫生交叉学科的了解、应用和需求的调查研究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刘畅</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王昱</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D02</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不同专业大学生睡前习惯性行为对睡眠质量影响研究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陈春屹</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史宇辉</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D10</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大学生坚果摄入情况及营养认知调查</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李满诗</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朱文丽</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D11</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北医食堂餐食营养学价值评估（</w:t>
            </w:r>
            <w:r>
              <w:rPr>
                <w:color w:val="000000"/>
              </w:rPr>
              <w:t>二</w:t>
            </w:r>
            <w:r>
              <w:rPr>
                <w:rFonts w:hint="eastAsia"/>
                <w:color w:val="000000"/>
              </w:rPr>
              <w:t>）</w:t>
            </w:r>
            <w:r>
              <w:rPr>
                <w:color w:val="000000"/>
              </w:rPr>
              <w:t>——</w:t>
            </w:r>
            <w:r>
              <w:rPr>
                <w:rFonts w:hint="eastAsia"/>
                <w:color w:val="000000"/>
              </w:rPr>
              <w:t>套餐评价</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李妞妞</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朱文丽</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D04</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工作环境对本科学历护理人员职业生涯成功的影响</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戴儡玥</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王志稳</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D09</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老年住院患者住院体验的质性研究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景冠达</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刘宇</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D19</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腰椎间盘突出症患者生活质量与家庭关怀度的相关性研究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穆巴拉克•伊力哈木</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王志稳</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D21</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大学生视力情况调查</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申海洋</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侯淑肖</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D33</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北医护理本科扩招前后学生的职业规划情况调查及相应建议</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张力川</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罗萍</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D35</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北医护理学院本科生及研究生对护理专业的心理认知</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赵妹</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孙玉梅</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D14</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养老机构入住老人的医疗和养老体验调查研究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李智宇</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万巧琴</w:t>
            </w:r>
          </w:p>
        </w:tc>
      </w:tr>
      <w:tr w:rsidR="00782678" w:rsidRPr="00682844" w:rsidTr="0027230C">
        <w:trPr>
          <w:trHeight w:val="555"/>
          <w:jc w:val="center"/>
        </w:trPr>
        <w:tc>
          <w:tcPr>
            <w:tcW w:w="851" w:type="dxa"/>
            <w:shd w:val="clear" w:color="000000" w:fill="FFFFFF"/>
            <w:vAlign w:val="center"/>
            <w:hideMark/>
          </w:tcPr>
          <w:p w:rsidR="00782678" w:rsidRDefault="00782678" w:rsidP="0027230C">
            <w:pPr>
              <w:jc w:val="center"/>
              <w:rPr>
                <w:rFonts w:ascii="宋体" w:hAnsi="宋体" w:cs="宋体"/>
                <w:sz w:val="24"/>
              </w:rPr>
            </w:pPr>
            <w:r>
              <w:rPr>
                <w:rFonts w:hint="eastAsia"/>
              </w:rPr>
              <w:t>D03</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北京大学基础医学院导生制项目现状及其发展研究——以医学预科新生导生为例</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陈</w:t>
            </w:r>
            <w:r>
              <w:rPr>
                <w:rFonts w:hint="eastAsia"/>
                <w:color w:val="000000"/>
              </w:rPr>
              <w:t xml:space="preserve"> </w:t>
            </w:r>
            <w:r>
              <w:rPr>
                <w:rFonts w:hint="eastAsia"/>
                <w:color w:val="000000"/>
              </w:rPr>
              <w:t>曦</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俞荔琼</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D31</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人体解剖学学习中学生的可能出现的心理障碍分析</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叶明</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张卫光</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S30</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CMTM7</w:t>
            </w:r>
            <w:r>
              <w:rPr>
                <w:rFonts w:hint="eastAsia"/>
              </w:rPr>
              <w:t>在</w:t>
            </w:r>
            <w:r>
              <w:rPr>
                <w:rFonts w:hint="eastAsia"/>
              </w:rPr>
              <w:t>EGFR</w:t>
            </w:r>
            <w:r>
              <w:rPr>
                <w:rFonts w:hint="eastAsia"/>
              </w:rPr>
              <w:t>突变型肺腺癌中对</w:t>
            </w:r>
            <w:r>
              <w:rPr>
                <w:rFonts w:hint="eastAsia"/>
              </w:rPr>
              <w:t>EGFR</w:t>
            </w:r>
            <w:r>
              <w:rPr>
                <w:rFonts w:hint="eastAsia"/>
              </w:rPr>
              <w:t>内化及其拮抗剂敏感性的研究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陈曦</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韩文玲</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S10</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不同组织肿瘤发生风险和干细胞周期的生物信息学研究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刘泽林</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崔庆华</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S09</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RIG-I</w:t>
            </w:r>
            <w:r>
              <w:rPr>
                <w:rFonts w:hint="eastAsia"/>
              </w:rPr>
              <w:t>基因表达对乙型肝炎病毒感染细胞的影响</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李如菲</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鲁凤民</w:t>
            </w:r>
            <w:r>
              <w:rPr>
                <w:rFonts w:hint="eastAsia"/>
              </w:rPr>
              <w:t xml:space="preserve"> </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S27</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抑癌基因</w:t>
            </w:r>
            <w:r>
              <w:rPr>
                <w:rFonts w:hint="eastAsia"/>
              </w:rPr>
              <w:t>CMTM3</w:t>
            </w:r>
            <w:r>
              <w:rPr>
                <w:rFonts w:hint="eastAsia"/>
              </w:rPr>
              <w:t>在胃癌转移中的功能与机制研究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詹江山</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韩文玲</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S22</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牛奶中免疫相关物质活性的贮存“时间窗”研究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王峙霖</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王月丹</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S32</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KIAA1199</w:t>
            </w:r>
            <w:r>
              <w:rPr>
                <w:rFonts w:hint="eastAsia"/>
              </w:rPr>
              <w:t>与</w:t>
            </w:r>
            <w:r>
              <w:rPr>
                <w:rFonts w:hint="eastAsia"/>
              </w:rPr>
              <w:t>Notch</w:t>
            </w:r>
            <w:r>
              <w:rPr>
                <w:rFonts w:hint="eastAsia"/>
              </w:rPr>
              <w:t>信号通路在</w:t>
            </w:r>
            <w:r>
              <w:rPr>
                <w:rFonts w:hint="eastAsia"/>
              </w:rPr>
              <w:t>P19CL5</w:t>
            </w:r>
            <w:r>
              <w:rPr>
                <w:rFonts w:hint="eastAsia"/>
              </w:rPr>
              <w:t>细胞向心肌细胞分化过程中的相互作用</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李天慈</w:t>
            </w:r>
          </w:p>
        </w:tc>
        <w:tc>
          <w:tcPr>
            <w:tcW w:w="1167" w:type="dxa"/>
            <w:shd w:val="clear" w:color="auto" w:fill="auto"/>
            <w:vAlign w:val="center"/>
            <w:hideMark/>
          </w:tcPr>
          <w:p w:rsidR="00782678" w:rsidRDefault="00782678" w:rsidP="0027230C">
            <w:pPr>
              <w:jc w:val="center"/>
              <w:rPr>
                <w:color w:val="000000"/>
                <w:sz w:val="24"/>
              </w:rPr>
            </w:pPr>
            <w:r>
              <w:rPr>
                <w:color w:val="000000"/>
              </w:rPr>
              <w:t>贾竹青</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lastRenderedPageBreak/>
              <w:t>S07</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LXR</w:t>
            </w:r>
            <w:r>
              <w:rPr>
                <w:rFonts w:hint="eastAsia"/>
              </w:rPr>
              <w:t>激动剂</w:t>
            </w:r>
            <w:r>
              <w:rPr>
                <w:color w:val="000000"/>
              </w:rPr>
              <w:t>TO901317</w:t>
            </w:r>
            <w:r>
              <w:rPr>
                <w:rFonts w:hint="eastAsia"/>
                <w:color w:val="000000"/>
              </w:rPr>
              <w:t>对</w:t>
            </w:r>
            <w:r>
              <w:rPr>
                <w:color w:val="000000"/>
              </w:rPr>
              <w:t>卵巢颗粒细胞凋亡</w:t>
            </w:r>
            <w:r>
              <w:rPr>
                <w:rFonts w:hint="eastAsia"/>
                <w:color w:val="000000"/>
              </w:rPr>
              <w:t>的影响</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靳龙阳</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康继宏</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S12</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脂肪间充质干细胞诱导大鼠异位心脏移植免疫耐受</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马闰卓</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李茵</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S31</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腺病毒介导的</w:t>
            </w:r>
            <w:r>
              <w:rPr>
                <w:rFonts w:hint="eastAsia"/>
              </w:rPr>
              <w:t>shDNMT1</w:t>
            </w:r>
            <w:r>
              <w:rPr>
                <w:rFonts w:hint="eastAsia"/>
              </w:rPr>
              <w:t>抑制</w:t>
            </w:r>
            <w:r>
              <w:rPr>
                <w:rFonts w:hint="eastAsia"/>
              </w:rPr>
              <w:t>ApoE</w:t>
            </w:r>
            <w:r>
              <w:rPr>
                <w:rFonts w:hint="eastAsia"/>
              </w:rPr>
              <w:t>基因缺陷小鼠动脉粥样硬化发生</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黄浥淘</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周菁</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S33</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肥胖促进血管外膜炎症和腹主动脉瘤的发生</w:t>
            </w:r>
            <w:r>
              <w:rPr>
                <w:rFonts w:hint="eastAsia"/>
              </w:rPr>
              <w:t>Obesity exaggerates adventitial inflammation and CaCl2-induced abdominal aortic aneurysm in mice</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王炳苏</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姜长涛</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S24</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基于北京大学医学部学生的</w:t>
            </w:r>
            <w:r>
              <w:rPr>
                <w:color w:val="000000"/>
              </w:rPr>
              <w:t>不同口腔护理方式对口腔健康状况的影响</w:t>
            </w:r>
            <w:r>
              <w:rPr>
                <w:rFonts w:hint="eastAsia"/>
                <w:color w:val="000000"/>
              </w:rPr>
              <w:t>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徐田松</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邹清华</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S14</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两种植物多酚（葡萄籽多酚、石榴皮多酚）对小鼠溃疡性结肠炎的保护作用及机制研究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努尔迪达·努尔布拉提</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祁荣</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S29</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S100A9</w:t>
            </w:r>
            <w:r>
              <w:rPr>
                <w:rFonts w:hint="eastAsia"/>
              </w:rPr>
              <w:t>介导阿托伐他汀抑制肺腺癌转移的作用及机制研究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周琪</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李学军</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D06</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口腔颌面部间隙辅助教学软件的用户界面设计及体验评测</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付肖依</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刘筱菁</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L05</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正畸正颌联合治疗与鼻通气、鼻阻力的关系研究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刘若曦</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林久祥</w:t>
            </w:r>
            <w:r>
              <w:rPr>
                <w:rFonts w:hint="eastAsia"/>
                <w:color w:val="000000"/>
              </w:rPr>
              <w:t>/</w:t>
            </w:r>
            <w:r>
              <w:rPr>
                <w:rFonts w:hint="eastAsia"/>
                <w:color w:val="000000"/>
              </w:rPr>
              <w:t>贾培增</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L09</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涎腺腺样囊性癌和基底细胞腺瘤中</w:t>
            </w:r>
            <w:r>
              <w:rPr>
                <w:rFonts w:hint="eastAsia"/>
              </w:rPr>
              <w:t>MYB</w:t>
            </w:r>
            <w:r>
              <w:rPr>
                <w:rFonts w:hint="eastAsia"/>
              </w:rPr>
              <w:t>表达差异及其临床病理意义</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魏冬豪</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周传香</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S16</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Hippo</w:t>
            </w:r>
            <w:r>
              <w:rPr>
                <w:rFonts w:hint="eastAsia"/>
              </w:rPr>
              <w:t>通路参与正畸牙齿移动过程的分子机制研究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沈琳慧</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周彦恒</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D27</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对比深圳与北京两地</w:t>
            </w:r>
            <w:r>
              <w:rPr>
                <w:rFonts w:hint="eastAsia"/>
              </w:rPr>
              <w:t>40-50</w:t>
            </w:r>
            <w:r>
              <w:rPr>
                <w:rFonts w:hint="eastAsia"/>
              </w:rPr>
              <w:t>岁女性龋齿患者口腔微环境状况</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魏迪洋</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郑树国</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S20</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口腔黏膜黑色素瘤潜在致病基因突变检测</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王思雯</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陈峰</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D20</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健康产品网上广告监管研究——以北京市为例</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阙梦圆</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江滨</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S02</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以</w:t>
            </w:r>
            <w:r>
              <w:rPr>
                <w:color w:val="000000"/>
              </w:rPr>
              <w:t>1,1,1,2-</w:t>
            </w:r>
            <w:r>
              <w:rPr>
                <w:rFonts w:hint="eastAsia"/>
                <w:color w:val="000000"/>
              </w:rPr>
              <w:t>四氟乙烷为溶剂的新型超临界萃取法提取中药材精油</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邓博</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陈世忠</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S06</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以</w:t>
            </w:r>
            <w:r>
              <w:rPr>
                <w:color w:val="000000"/>
              </w:rPr>
              <w:t>TLR8</w:t>
            </w:r>
            <w:r>
              <w:rPr>
                <w:rFonts w:hint="eastAsia"/>
                <w:color w:val="000000"/>
              </w:rPr>
              <w:t>为靶点的小分子激动剂的虚拟筛选研究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黄慧</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张亮仁</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S13</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高钠佐料味精的钠离子选择电极测定方法</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苗宇桐</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胡新</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S15</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细胞内、外环境对核糖体生成和功能的影响</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青木悠</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夏青</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S18</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关于</w:t>
            </w:r>
            <w:r>
              <w:rPr>
                <w:color w:val="000000"/>
              </w:rPr>
              <w:t>Zincke</w:t>
            </w:r>
            <w:r>
              <w:rPr>
                <w:rFonts w:hint="eastAsia"/>
                <w:color w:val="000000"/>
              </w:rPr>
              <w:t>醛的</w:t>
            </w:r>
            <w:r>
              <w:rPr>
                <w:rFonts w:hint="eastAsia"/>
                <w:color w:val="000000"/>
              </w:rPr>
              <w:t>Diels-Alder</w:t>
            </w:r>
            <w:r>
              <w:rPr>
                <w:rFonts w:hint="eastAsia"/>
                <w:color w:val="000000"/>
              </w:rPr>
              <w:t>反应研究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王翰轩</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董甦伟</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S19</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Ve</w:t>
            </w:r>
            <w:r>
              <w:rPr>
                <w:rFonts w:hint="eastAsia"/>
              </w:rPr>
              <w:t>修饰核苷亚磷酰胺单体的合成及其</w:t>
            </w:r>
            <w:r>
              <w:rPr>
                <w:rFonts w:hint="eastAsia"/>
              </w:rPr>
              <w:t>siRNA</w:t>
            </w:r>
            <w:r>
              <w:rPr>
                <w:rFonts w:hint="eastAsia"/>
              </w:rPr>
              <w:t>定点修饰</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王宏智</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汤新景</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S08</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缀合没食子酸的五环三萜新衍生物的合成及抗病毒活性研究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李海伟</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肖苏龙</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D36</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大学生电子游戏教学的社会调查研究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周诗源</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赵明</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lastRenderedPageBreak/>
              <w:t>S11</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台湾冻顶乌龙茶有效成分分析</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柳京伯</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赵明</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S05</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基于</w:t>
            </w:r>
            <w:r>
              <w:rPr>
                <w:color w:val="000000"/>
              </w:rPr>
              <w:t>生物色谱</w:t>
            </w:r>
            <w:r>
              <w:rPr>
                <w:rFonts w:hint="eastAsia"/>
                <w:color w:val="000000"/>
              </w:rPr>
              <w:t>法的</w:t>
            </w:r>
            <w:r>
              <w:rPr>
                <w:color w:val="000000"/>
              </w:rPr>
              <w:t>红花抗炎活性成分研究</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侯宇</w:t>
            </w:r>
          </w:p>
        </w:tc>
        <w:tc>
          <w:tcPr>
            <w:tcW w:w="1167" w:type="dxa"/>
            <w:shd w:val="clear" w:color="auto" w:fill="auto"/>
            <w:vAlign w:val="center"/>
            <w:hideMark/>
          </w:tcPr>
          <w:p w:rsidR="00782678" w:rsidRDefault="00782678" w:rsidP="0027230C">
            <w:pPr>
              <w:jc w:val="center"/>
              <w:rPr>
                <w:rFonts w:ascii="宋体" w:hAnsi="宋体" w:cs="宋体"/>
                <w:sz w:val="24"/>
              </w:rPr>
            </w:pPr>
            <w:r>
              <w:rPr>
                <w:rFonts w:hint="eastAsia"/>
              </w:rPr>
              <w:t>姜勇</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S04</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羟乙基纤维素即溶止血纱布止血性能及生物相容性评价</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郝艳丽</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谢英</w:t>
            </w:r>
          </w:p>
        </w:tc>
      </w:tr>
      <w:tr w:rsidR="00782678" w:rsidRPr="00682844" w:rsidTr="0027230C">
        <w:trPr>
          <w:trHeight w:val="555"/>
          <w:jc w:val="center"/>
        </w:trPr>
        <w:tc>
          <w:tcPr>
            <w:tcW w:w="851" w:type="dxa"/>
            <w:shd w:val="clear" w:color="auto" w:fill="auto"/>
            <w:vAlign w:val="center"/>
            <w:hideMark/>
          </w:tcPr>
          <w:p w:rsidR="00782678" w:rsidRDefault="00782678" w:rsidP="0027230C">
            <w:pPr>
              <w:jc w:val="center"/>
              <w:rPr>
                <w:rFonts w:ascii="宋体" w:hAnsi="宋体" w:cs="宋体"/>
                <w:sz w:val="24"/>
              </w:rPr>
            </w:pPr>
            <w:r>
              <w:rPr>
                <w:rFonts w:hint="eastAsia"/>
              </w:rPr>
              <w:t>S17</w:t>
            </w:r>
          </w:p>
        </w:tc>
        <w:tc>
          <w:tcPr>
            <w:tcW w:w="5103" w:type="dxa"/>
            <w:shd w:val="clear" w:color="auto" w:fill="auto"/>
            <w:vAlign w:val="center"/>
            <w:hideMark/>
          </w:tcPr>
          <w:p w:rsidR="00782678" w:rsidRDefault="00782678" w:rsidP="0027230C">
            <w:pPr>
              <w:jc w:val="center"/>
              <w:rPr>
                <w:rFonts w:ascii="宋体" w:hAnsi="宋体" w:cs="宋体"/>
                <w:sz w:val="24"/>
              </w:rPr>
            </w:pPr>
            <w:r>
              <w:rPr>
                <w:rFonts w:hint="eastAsia"/>
              </w:rPr>
              <w:t>穿膜肽修饰的纳米粒的构建与体内外评价</w:t>
            </w:r>
          </w:p>
        </w:tc>
        <w:tc>
          <w:tcPr>
            <w:tcW w:w="1134" w:type="dxa"/>
            <w:shd w:val="clear" w:color="auto" w:fill="auto"/>
            <w:vAlign w:val="center"/>
            <w:hideMark/>
          </w:tcPr>
          <w:p w:rsidR="00782678" w:rsidRDefault="00782678" w:rsidP="0027230C">
            <w:pPr>
              <w:jc w:val="center"/>
              <w:rPr>
                <w:rFonts w:ascii="宋体" w:hAnsi="宋体" w:cs="宋体"/>
                <w:sz w:val="24"/>
              </w:rPr>
            </w:pPr>
            <w:r>
              <w:rPr>
                <w:rFonts w:hint="eastAsia"/>
              </w:rPr>
              <w:t>汪小清</w:t>
            </w:r>
          </w:p>
        </w:tc>
        <w:tc>
          <w:tcPr>
            <w:tcW w:w="1167" w:type="dxa"/>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李馨儒</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S21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多功能纳米给药系统的构建与体外评价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王宇</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李馨儒</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D01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关于北京大学医学部早期接触临床课程的改革探索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艾忻</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续岩</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D05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学生视角看临床医学专业医预课程计划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付佳钰</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杨晓征</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D17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北医师生课堂互动现状调查及新媒体式互动方式探索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刘圣均</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程化琴</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D18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医学生勤工助学模式的探索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刘扬</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罗友晖</w:t>
            </w:r>
            <w:r>
              <w:rPr>
                <w:color w:val="000000"/>
              </w:rPr>
              <w:t>/</w:t>
            </w:r>
            <w:r>
              <w:rPr>
                <w:rFonts w:hint="eastAsia"/>
                <w:color w:val="000000"/>
              </w:rPr>
              <w:t>郭一杰</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D22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网络课程在北医师生中使用情况与需求的研究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史佳敏</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王景超</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D23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高校新生自主管理模式探析</w:t>
            </w:r>
            <w:r>
              <w:rPr>
                <w:rFonts w:hint="eastAsia"/>
                <w:color w:val="000000"/>
              </w:rPr>
              <w:t>——以北大</w:t>
            </w:r>
            <w:r>
              <w:rPr>
                <w:color w:val="000000"/>
              </w:rPr>
              <w:t>2014</w:t>
            </w:r>
            <w:r>
              <w:rPr>
                <w:rFonts w:hint="eastAsia"/>
                <w:color w:val="000000"/>
              </w:rPr>
              <w:t>级医预学生为例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宋沁峰</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张莉娟</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D29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医学院校社会实践活动的对比研究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杨淞淳</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于晨</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D30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个体对压力的</w:t>
            </w:r>
            <w:r>
              <w:rPr>
                <w:rFonts w:hint="eastAsia"/>
                <w:color w:val="000000"/>
              </w:rPr>
              <w:t>感知</w:t>
            </w:r>
            <w:r>
              <w:rPr>
                <w:color w:val="000000"/>
              </w:rPr>
              <w:t>及应对方式与</w:t>
            </w:r>
            <w:r>
              <w:rPr>
                <w:rFonts w:hint="eastAsia"/>
                <w:color w:val="000000"/>
              </w:rPr>
              <w:t>大学生的</w:t>
            </w:r>
            <w:r>
              <w:rPr>
                <w:color w:val="000000"/>
              </w:rPr>
              <w:t>情绪性进食行为的关系研究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叶丽媛</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张丝艳</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D37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医学部本科学生学习心理状况调研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邹沛辉</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李峰</w:t>
            </w:r>
            <w:r>
              <w:rPr>
                <w:color w:val="000000"/>
              </w:rPr>
              <w:t>/</w:t>
            </w:r>
            <w:r>
              <w:rPr>
                <w:rFonts w:hint="eastAsia"/>
                <w:color w:val="000000"/>
              </w:rPr>
              <w:t>刘珵</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D32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w:t>
            </w:r>
            <w:r>
              <w:rPr>
                <w:color w:val="000000"/>
              </w:rPr>
              <w:t>项目制</w:t>
            </w:r>
            <w:r>
              <w:rPr>
                <w:rFonts w:hint="eastAsia"/>
                <w:color w:val="000000"/>
              </w:rPr>
              <w:t>”在北大</w:t>
            </w:r>
            <w:r>
              <w:rPr>
                <w:color w:val="000000"/>
              </w:rPr>
              <w:t>2014</w:t>
            </w:r>
            <w:r>
              <w:rPr>
                <w:rFonts w:hint="eastAsia"/>
                <w:color w:val="000000"/>
              </w:rPr>
              <w:t>级医预学生工作中运用情况调查分析</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张春峰</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李红</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D15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北京大学医学部和北京协和医学院医学预科模式的研究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林传培</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郑兰斌</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L06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急性肺栓塞患者肺部平扫</w:t>
            </w:r>
            <w:r>
              <w:rPr>
                <w:rFonts w:hint="eastAsia"/>
              </w:rPr>
              <w:t>CT</w:t>
            </w:r>
            <w:r>
              <w:rPr>
                <w:rFonts w:hint="eastAsia"/>
              </w:rPr>
              <w:t>表现与氧合指数相关性研究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裴秀彬</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color w:val="000000"/>
                <w:sz w:val="24"/>
              </w:rPr>
            </w:pPr>
            <w:r>
              <w:rPr>
                <w:rFonts w:hint="eastAsia"/>
                <w:color w:val="000000"/>
              </w:rPr>
              <w:t>兰学立</w:t>
            </w:r>
          </w:p>
        </w:tc>
      </w:tr>
      <w:tr w:rsidR="00782678" w:rsidTr="0027230C">
        <w:trPr>
          <w:trHeight w:val="5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S03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初步建立</w:t>
            </w:r>
            <w:r>
              <w:rPr>
                <w:rFonts w:hint="eastAsia"/>
              </w:rPr>
              <w:t>Scd1</w:t>
            </w:r>
            <w:r>
              <w:rPr>
                <w:rFonts w:hint="eastAsia"/>
                <w:color w:val="000000"/>
                <w:vertAlign w:val="superscript"/>
              </w:rPr>
              <w:t>ab-xyk</w:t>
            </w:r>
            <w:r>
              <w:rPr>
                <w:rFonts w:hint="eastAsia"/>
                <w:color w:val="000000"/>
              </w:rPr>
              <w:t>自发突变近交系小鼠的同类系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方创森</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78" w:rsidRDefault="00782678" w:rsidP="0027230C">
            <w:pPr>
              <w:jc w:val="center"/>
              <w:rPr>
                <w:rFonts w:ascii="宋体" w:hAnsi="宋体" w:cs="宋体"/>
                <w:sz w:val="24"/>
              </w:rPr>
            </w:pPr>
            <w:r>
              <w:rPr>
                <w:rFonts w:hint="eastAsia"/>
              </w:rPr>
              <w:t>周淑佩</w:t>
            </w:r>
          </w:p>
        </w:tc>
      </w:tr>
    </w:tbl>
    <w:p w:rsidR="00BF5BAA" w:rsidRDefault="00BF5BAA"/>
    <w:sectPr w:rsidR="00BF5B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BAA" w:rsidRDefault="00BF5BAA" w:rsidP="00782678">
      <w:r>
        <w:separator/>
      </w:r>
    </w:p>
  </w:endnote>
  <w:endnote w:type="continuationSeparator" w:id="1">
    <w:p w:rsidR="00BF5BAA" w:rsidRDefault="00BF5BAA" w:rsidP="007826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BAA" w:rsidRDefault="00BF5BAA" w:rsidP="00782678">
      <w:r>
        <w:separator/>
      </w:r>
    </w:p>
  </w:footnote>
  <w:footnote w:type="continuationSeparator" w:id="1">
    <w:p w:rsidR="00BF5BAA" w:rsidRDefault="00BF5BAA" w:rsidP="007826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678"/>
    <w:rsid w:val="00782678"/>
    <w:rsid w:val="00BF5B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6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82678"/>
    <w:rPr>
      <w:sz w:val="18"/>
      <w:szCs w:val="18"/>
    </w:rPr>
  </w:style>
  <w:style w:type="paragraph" w:styleId="a4">
    <w:name w:val="footer"/>
    <w:basedOn w:val="a"/>
    <w:link w:val="Char0"/>
    <w:uiPriority w:val="99"/>
    <w:semiHidden/>
    <w:unhideWhenUsed/>
    <w:rsid w:val="007826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826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1727</Characters>
  <Application>Microsoft Office Word</Application>
  <DocSecurity>0</DocSecurity>
  <Lines>246</Lines>
  <Paragraphs>328</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2017-05-16T01:44:00Z</dcterms:created>
  <dcterms:modified xsi:type="dcterms:W3CDTF">2017-05-16T01:45:00Z</dcterms:modified>
</cp:coreProperties>
</file>