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3398742">
      <w:pPr>
        <w:jc w:val="center"/>
        <w:rPr>
          <w:b/>
          <w:sz w:val="44"/>
          <w:szCs w:val="44"/>
        </w:rPr>
      </w:pPr>
      <w:r>
        <w:rPr>
          <w:rFonts w:hint="eastAsia"/>
          <w:b/>
          <w:sz w:val="44"/>
          <w:szCs w:val="44"/>
          <w:lang w:val="en-US" w:eastAsia="zh-CN"/>
        </w:rPr>
        <w:t>大学生创新实验项目管理</w:t>
      </w:r>
      <w:r>
        <w:rPr>
          <w:b/>
          <w:sz w:val="44"/>
          <w:szCs w:val="44"/>
        </w:rPr>
        <w:t>操作指南</w:t>
      </w:r>
    </w:p>
    <w:p w14:paraId="5BD212C3">
      <w:pPr>
        <w:jc w:val="center"/>
        <w:rPr>
          <w:b/>
          <w:sz w:val="32"/>
          <w:szCs w:val="32"/>
        </w:rPr>
      </w:pPr>
      <w:r>
        <w:rPr>
          <w:rFonts w:hint="eastAsia"/>
          <w:b/>
          <w:sz w:val="32"/>
          <w:szCs w:val="32"/>
        </w:rPr>
        <w:t>（</w:t>
      </w:r>
      <w:r>
        <w:rPr>
          <w:rFonts w:hint="eastAsia"/>
          <w:b/>
          <w:sz w:val="32"/>
          <w:szCs w:val="32"/>
          <w:lang w:val="en-US" w:eastAsia="zh-CN"/>
        </w:rPr>
        <w:t>指导老师</w:t>
      </w:r>
      <w:r>
        <w:rPr>
          <w:rFonts w:hint="eastAsia"/>
          <w:b/>
          <w:sz w:val="32"/>
          <w:szCs w:val="32"/>
        </w:rPr>
        <w:t>使用）</w:t>
      </w:r>
    </w:p>
    <w:p w14:paraId="06BCFBB4">
      <w:pPr>
        <w:spacing w:line="600" w:lineRule="exact"/>
        <w:rPr>
          <w:b/>
          <w:color w:val="FF0000"/>
          <w:sz w:val="19"/>
          <w:u w:val="single"/>
        </w:rPr>
      </w:pPr>
      <w:r>
        <w:rPr>
          <w:rFonts w:hint="eastAsia"/>
          <w:b/>
          <w:sz w:val="19"/>
          <w:u w:val="single"/>
        </w:rPr>
        <w:t>推荐浏览器：</w:t>
      </w:r>
      <w:r>
        <w:rPr>
          <w:b/>
          <w:color w:val="FF0000"/>
          <w:sz w:val="19"/>
          <w:u w:val="single"/>
        </w:rPr>
        <w:t>谷歌浏览器</w:t>
      </w:r>
      <w:r>
        <w:rPr>
          <w:rFonts w:hint="eastAsia"/>
          <w:b/>
          <w:color w:val="FF0000"/>
          <w:sz w:val="19"/>
          <w:u w:val="single"/>
        </w:rPr>
        <w:t>、</w:t>
      </w:r>
      <w:r>
        <w:rPr>
          <w:b/>
          <w:color w:val="FF0000"/>
          <w:sz w:val="19"/>
          <w:u w:val="single"/>
        </w:rPr>
        <w:t>360</w:t>
      </w:r>
      <w:r>
        <w:rPr>
          <w:rFonts w:hint="eastAsia"/>
          <w:b/>
          <w:color w:val="FF0000"/>
          <w:sz w:val="19"/>
          <w:u w:val="single"/>
        </w:rPr>
        <w:t>浏览器（极速模式）</w:t>
      </w:r>
    </w:p>
    <w:p w14:paraId="70E57394">
      <w:pPr>
        <w:pStyle w:val="2"/>
        <w:pageBreakBefore w:val="0"/>
        <w:widowControl w:val="0"/>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rPr>
      </w:pPr>
      <w:r>
        <w:rPr>
          <w:rFonts w:hint="eastAsia" w:ascii="宋体" w:hAnsi="宋体" w:eastAsia="宋体" w:cs="宋体"/>
          <w:sz w:val="21"/>
          <w:szCs w:val="21"/>
        </w:rPr>
        <w:t>一、系统登录及访问</w:t>
      </w:r>
    </w:p>
    <w:p w14:paraId="3DE67FF7">
      <w:pPr>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1、打开浏览器，访问北京大学医学部“综合服务平台”，网址为：</w:t>
      </w: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"http://apps.bjmu.edu.cn/" </w:instrText>
      </w:r>
      <w:r>
        <w:rPr>
          <w:rFonts w:hint="eastAsia" w:ascii="宋体" w:hAnsi="宋体" w:eastAsia="宋体" w:cs="宋体"/>
          <w:sz w:val="21"/>
          <w:szCs w:val="21"/>
        </w:rPr>
        <w:fldChar w:fldCharType="separate"/>
      </w:r>
      <w:r>
        <w:rPr>
          <w:rStyle w:val="8"/>
          <w:rFonts w:hint="eastAsia" w:ascii="宋体" w:hAnsi="宋体" w:eastAsia="宋体" w:cs="宋体"/>
          <w:sz w:val="21"/>
          <w:szCs w:val="21"/>
          <w:highlight w:val="yellow"/>
        </w:rPr>
        <w:t>http://apps.bjmu.edu.cn/</w:t>
      </w:r>
      <w:r>
        <w:rPr>
          <w:rStyle w:val="8"/>
          <w:rFonts w:hint="eastAsia" w:ascii="宋体" w:hAnsi="宋体" w:eastAsia="宋体" w:cs="宋体"/>
          <w:sz w:val="21"/>
          <w:szCs w:val="21"/>
          <w:highlight w:val="yellow"/>
        </w:rPr>
        <w:fldChar w:fldCharType="end"/>
      </w:r>
      <w:r>
        <w:rPr>
          <w:rFonts w:hint="eastAsia" w:ascii="宋体" w:hAnsi="宋体" w:eastAsia="宋体" w:cs="宋体"/>
          <w:sz w:val="21"/>
          <w:szCs w:val="21"/>
          <w:highlight w:val="yellow"/>
        </w:rPr>
        <w:t>，</w:t>
      </w:r>
      <w:r>
        <w:rPr>
          <w:rFonts w:hint="eastAsia" w:ascii="宋体" w:hAnsi="宋体" w:eastAsia="宋体" w:cs="宋体"/>
          <w:sz w:val="21"/>
          <w:szCs w:val="21"/>
        </w:rPr>
        <w:t>成功访问后显示如下图</w:t>
      </w:r>
      <w:r>
        <w:rPr>
          <w:rFonts w:hint="eastAsia" w:ascii="宋体" w:hAnsi="宋体" w:eastAsia="宋体" w:cs="宋体"/>
          <w:sz w:val="21"/>
          <w:szCs w:val="21"/>
          <w:lang w:val="en-US" w:eastAsia="zh-CN"/>
        </w:rPr>
        <w:t>1</w:t>
      </w:r>
      <w:r>
        <w:rPr>
          <w:rFonts w:hint="eastAsia" w:ascii="宋体" w:hAnsi="宋体" w:eastAsia="宋体" w:cs="宋体"/>
          <w:sz w:val="21"/>
          <w:szCs w:val="21"/>
        </w:rPr>
        <w:t>。</w:t>
      </w:r>
    </w:p>
    <w:p w14:paraId="0AEA6359">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4937760" cy="2190115"/>
            <wp:effectExtent l="0" t="0" r="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
                    <a:stretch>
                      <a:fillRect/>
                    </a:stretch>
                  </pic:blipFill>
                  <pic:spPr>
                    <a:xfrm>
                      <a:off x="0" y="0"/>
                      <a:ext cx="4943293" cy="2193118"/>
                    </a:xfrm>
                    <a:prstGeom prst="rect">
                      <a:avLst/>
                    </a:prstGeom>
                  </pic:spPr>
                </pic:pic>
              </a:graphicData>
            </a:graphic>
          </wp:inline>
        </w:drawing>
      </w:r>
    </w:p>
    <w:p w14:paraId="472D9DDF">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w:t>
      </w:r>
    </w:p>
    <w:p w14:paraId="3DCAF218">
      <w:pPr>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t>2、正确输入本人的用户名和密码，点击“登录”按钮，进入北京大学医学部综合服务平台，并切换到【服务大厅】页面，如下图</w:t>
      </w:r>
      <w:r>
        <w:rPr>
          <w:rFonts w:hint="eastAsia" w:ascii="宋体" w:hAnsi="宋体" w:eastAsia="宋体" w:cs="宋体"/>
          <w:sz w:val="21"/>
          <w:szCs w:val="21"/>
          <w:lang w:val="en-US" w:eastAsia="zh-CN"/>
        </w:rPr>
        <w:t>2</w:t>
      </w:r>
      <w:r>
        <w:rPr>
          <w:rFonts w:hint="eastAsia" w:ascii="宋体" w:hAnsi="宋体" w:eastAsia="宋体" w:cs="宋体"/>
          <w:sz w:val="21"/>
          <w:szCs w:val="21"/>
        </w:rPr>
        <w:t>所示。</w:t>
      </w:r>
    </w:p>
    <w:p w14:paraId="4CCA2769">
      <w:pPr>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highlight w:val="yellow"/>
        </w:rPr>
        <w:t>注意：系统登录账号为</w:t>
      </w:r>
      <w:r>
        <w:rPr>
          <w:rFonts w:hint="eastAsia" w:ascii="宋体" w:hAnsi="宋体" w:eastAsia="宋体" w:cs="宋体"/>
          <w:color w:val="FF0000"/>
          <w:sz w:val="21"/>
          <w:szCs w:val="21"/>
          <w:highlight w:val="yellow"/>
          <w:lang w:val="en-US" w:eastAsia="zh-CN"/>
        </w:rPr>
        <w:t>教师职工号</w:t>
      </w:r>
      <w:r>
        <w:rPr>
          <w:rFonts w:hint="eastAsia" w:ascii="宋体" w:hAnsi="宋体" w:eastAsia="宋体" w:cs="宋体"/>
          <w:sz w:val="21"/>
          <w:szCs w:val="21"/>
          <w:highlight w:val="yellow"/>
        </w:rPr>
        <w:t>，密码为本人统一身份认证的密码，如果密码忘记，可以自主找回或联系学校信息中心。</w:t>
      </w:r>
    </w:p>
    <w:p w14:paraId="6228DE6A">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4969510" cy="2246630"/>
            <wp:effectExtent l="0" t="0" r="254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a:stretch>
                      <a:fillRect/>
                    </a:stretch>
                  </pic:blipFill>
                  <pic:spPr>
                    <a:xfrm>
                      <a:off x="0" y="0"/>
                      <a:ext cx="4973516" cy="2249039"/>
                    </a:xfrm>
                    <a:prstGeom prst="rect">
                      <a:avLst/>
                    </a:prstGeom>
                  </pic:spPr>
                </pic:pic>
              </a:graphicData>
            </a:graphic>
          </wp:inline>
        </w:drawing>
      </w:r>
    </w:p>
    <w:p w14:paraId="7C0929D0">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w:t>
      </w:r>
    </w:p>
    <w:p w14:paraId="57439DC0">
      <w:pPr>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3、如下图</w:t>
      </w:r>
      <w:r>
        <w:rPr>
          <w:rFonts w:hint="eastAsia" w:ascii="宋体" w:hAnsi="宋体" w:eastAsia="宋体" w:cs="宋体"/>
          <w:sz w:val="21"/>
          <w:szCs w:val="21"/>
          <w:lang w:val="en-US" w:eastAsia="zh-CN"/>
        </w:rPr>
        <w:t>3</w:t>
      </w:r>
      <w:r>
        <w:rPr>
          <w:rFonts w:hint="eastAsia" w:ascii="宋体" w:hAnsi="宋体" w:eastAsia="宋体" w:cs="宋体"/>
          <w:sz w:val="21"/>
          <w:szCs w:val="21"/>
        </w:rPr>
        <w:t>所示，在【办事大厅】的搜索框中输入“</w:t>
      </w:r>
      <w:r>
        <w:rPr>
          <w:rFonts w:hint="eastAsia" w:ascii="宋体" w:hAnsi="宋体" w:eastAsia="宋体" w:cs="宋体"/>
          <w:sz w:val="21"/>
          <w:szCs w:val="21"/>
          <w:lang w:val="en-US" w:eastAsia="zh-CN"/>
        </w:rPr>
        <w:t>大学生创新实验项目管理</w:t>
      </w:r>
      <w:r>
        <w:rPr>
          <w:rFonts w:hint="eastAsia" w:ascii="宋体" w:hAnsi="宋体" w:eastAsia="宋体" w:cs="宋体"/>
          <w:sz w:val="21"/>
          <w:szCs w:val="21"/>
        </w:rPr>
        <w:t>”会自动弹出“</w:t>
      </w:r>
      <w:r>
        <w:rPr>
          <w:rFonts w:hint="eastAsia" w:ascii="宋体" w:hAnsi="宋体" w:eastAsia="宋体" w:cs="宋体"/>
          <w:sz w:val="21"/>
          <w:szCs w:val="21"/>
          <w:lang w:val="en-US" w:eastAsia="zh-CN"/>
        </w:rPr>
        <w:t>大学生创新实验项目管理</w:t>
      </w:r>
      <w:r>
        <w:rPr>
          <w:rFonts w:hint="eastAsia" w:ascii="宋体" w:hAnsi="宋体" w:eastAsia="宋体" w:cs="宋体"/>
          <w:sz w:val="21"/>
          <w:szCs w:val="21"/>
        </w:rPr>
        <w:t>”图标，点击后</w:t>
      </w:r>
      <w:r>
        <w:rPr>
          <w:rFonts w:hint="eastAsia" w:ascii="宋体" w:hAnsi="宋体" w:eastAsia="宋体" w:cs="宋体"/>
          <w:sz w:val="21"/>
          <w:szCs w:val="21"/>
          <w:lang w:val="en-US" w:eastAsia="zh-CN"/>
        </w:rPr>
        <w:t>如果弹出下图4的页面（如果教师有多个身份，一般会弹出该页面，如果教师只有一个身份一般不会弹出该页面），请点击【创新实验导师】以指导老师的身份</w:t>
      </w:r>
      <w:r>
        <w:rPr>
          <w:rFonts w:hint="eastAsia" w:ascii="宋体" w:hAnsi="宋体" w:eastAsia="宋体" w:cs="宋体"/>
          <w:sz w:val="21"/>
          <w:szCs w:val="21"/>
        </w:rPr>
        <w:t>进入</w:t>
      </w:r>
      <w:r>
        <w:rPr>
          <w:rFonts w:hint="eastAsia" w:ascii="宋体" w:hAnsi="宋体" w:eastAsia="宋体" w:cs="宋体"/>
          <w:sz w:val="21"/>
          <w:szCs w:val="21"/>
          <w:lang w:val="en-US" w:eastAsia="zh-CN"/>
        </w:rPr>
        <w:t>大学生创新实验项目管理系统</w:t>
      </w:r>
      <w:r>
        <w:rPr>
          <w:rFonts w:hint="eastAsia" w:ascii="宋体" w:hAnsi="宋体" w:eastAsia="宋体" w:cs="宋体"/>
          <w:sz w:val="21"/>
          <w:szCs w:val="21"/>
        </w:rPr>
        <w:t>。</w:t>
      </w:r>
    </w:p>
    <w:p w14:paraId="45683A5D">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4989830" cy="2264410"/>
            <wp:effectExtent l="0" t="0" r="1270" b="254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8"/>
                    <a:stretch>
                      <a:fillRect/>
                    </a:stretch>
                  </pic:blipFill>
                  <pic:spPr>
                    <a:xfrm>
                      <a:off x="0" y="0"/>
                      <a:ext cx="4989830" cy="2264410"/>
                    </a:xfrm>
                    <a:prstGeom prst="rect">
                      <a:avLst/>
                    </a:prstGeom>
                    <a:noFill/>
                    <a:ln>
                      <a:noFill/>
                    </a:ln>
                  </pic:spPr>
                </pic:pic>
              </a:graphicData>
            </a:graphic>
          </wp:inline>
        </w:drawing>
      </w:r>
    </w:p>
    <w:p w14:paraId="6B83A6F7">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图3</w:t>
      </w:r>
    </w:p>
    <w:p w14:paraId="72A21EC2">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5420" cy="2314575"/>
            <wp:effectExtent l="0" t="0" r="11430" b="952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9"/>
                    <a:stretch>
                      <a:fillRect/>
                    </a:stretch>
                  </pic:blipFill>
                  <pic:spPr>
                    <a:xfrm>
                      <a:off x="0" y="0"/>
                      <a:ext cx="5265420" cy="2314575"/>
                    </a:xfrm>
                    <a:prstGeom prst="rect">
                      <a:avLst/>
                    </a:prstGeom>
                    <a:noFill/>
                    <a:ln>
                      <a:noFill/>
                    </a:ln>
                  </pic:spPr>
                </pic:pic>
              </a:graphicData>
            </a:graphic>
          </wp:inline>
        </w:drawing>
      </w:r>
    </w:p>
    <w:p w14:paraId="03FB99C7">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图4</w:t>
      </w:r>
    </w:p>
    <w:p w14:paraId="4947759D">
      <w:pPr>
        <w:pStyle w:val="2"/>
        <w:pageBreakBefore w:val="0"/>
        <w:widowControl w:val="0"/>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二、</w:t>
      </w:r>
      <w:r>
        <w:rPr>
          <w:rFonts w:hint="eastAsia" w:ascii="宋体" w:hAnsi="宋体" w:eastAsia="宋体" w:cs="宋体"/>
          <w:sz w:val="21"/>
          <w:szCs w:val="21"/>
          <w:lang w:val="en-US" w:eastAsia="zh-CN"/>
        </w:rPr>
        <w:t>大学生创新实验项目管理</w:t>
      </w:r>
    </w:p>
    <w:p w14:paraId="6DE1B7E7">
      <w:pPr>
        <w:pStyle w:val="3"/>
        <w:pageBreakBefore w:val="0"/>
        <w:widowControl w:val="0"/>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1、首页</w:t>
      </w:r>
    </w:p>
    <w:p w14:paraId="14727289">
      <w:pPr>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bookmarkStart w:id="0" w:name="_GoBack"/>
      <w:bookmarkEnd w:id="0"/>
      <w:r>
        <w:rPr>
          <w:rFonts w:hint="eastAsia" w:ascii="宋体" w:hAnsi="宋体" w:eastAsia="宋体" w:cs="宋体"/>
          <w:sz w:val="21"/>
          <w:szCs w:val="21"/>
          <w:lang w:val="en-US" w:eastAsia="zh-CN"/>
        </w:rPr>
        <w:t>指导教师</w:t>
      </w:r>
      <w:r>
        <w:rPr>
          <w:rFonts w:hint="eastAsia" w:ascii="宋体" w:hAnsi="宋体" w:eastAsia="宋体" w:cs="宋体"/>
          <w:sz w:val="21"/>
          <w:szCs w:val="21"/>
        </w:rPr>
        <w:t>进入“</w:t>
      </w:r>
      <w:r>
        <w:rPr>
          <w:rFonts w:hint="eastAsia" w:ascii="宋体" w:hAnsi="宋体" w:eastAsia="宋体" w:cs="宋体"/>
          <w:sz w:val="21"/>
          <w:szCs w:val="21"/>
          <w:lang w:val="en-US" w:eastAsia="zh-CN"/>
        </w:rPr>
        <w:t>大学生创新实验项目管理</w:t>
      </w:r>
      <w:r>
        <w:rPr>
          <w:rFonts w:hint="eastAsia" w:ascii="宋体" w:hAnsi="宋体" w:eastAsia="宋体" w:cs="宋体"/>
          <w:sz w:val="21"/>
          <w:szCs w:val="21"/>
        </w:rPr>
        <w:t>”系统功能后，</w:t>
      </w:r>
      <w:r>
        <w:rPr>
          <w:rFonts w:hint="eastAsia" w:ascii="宋体" w:hAnsi="宋体" w:eastAsia="宋体" w:cs="宋体"/>
          <w:sz w:val="21"/>
          <w:szCs w:val="21"/>
          <w:lang w:val="en-US" w:eastAsia="zh-CN"/>
        </w:rPr>
        <w:t>首页</w:t>
      </w:r>
      <w:r>
        <w:rPr>
          <w:rFonts w:hint="eastAsia" w:ascii="宋体" w:hAnsi="宋体" w:eastAsia="宋体" w:cs="宋体"/>
          <w:sz w:val="21"/>
          <w:szCs w:val="21"/>
        </w:rPr>
        <w:t>显示如下图</w:t>
      </w:r>
      <w:r>
        <w:rPr>
          <w:rFonts w:hint="eastAsia" w:ascii="宋体" w:hAnsi="宋体" w:eastAsia="宋体" w:cs="宋体"/>
          <w:sz w:val="21"/>
          <w:szCs w:val="21"/>
          <w:lang w:val="en-US" w:eastAsia="zh-CN"/>
        </w:rPr>
        <w:t>5</w:t>
      </w:r>
      <w:r>
        <w:rPr>
          <w:rFonts w:hint="eastAsia" w:ascii="宋体" w:hAnsi="宋体" w:eastAsia="宋体" w:cs="宋体"/>
          <w:sz w:val="21"/>
          <w:szCs w:val="21"/>
        </w:rPr>
        <w:t>。</w:t>
      </w:r>
      <w:r>
        <w:rPr>
          <w:rFonts w:hint="eastAsia" w:ascii="宋体" w:hAnsi="宋体" w:eastAsia="宋体" w:cs="宋体"/>
          <w:sz w:val="21"/>
          <w:szCs w:val="21"/>
          <w:lang w:val="en-US" w:eastAsia="zh-CN"/>
        </w:rPr>
        <w:t>请指导老师首先确认当前身份是否是如下图5右上角的【创新实验导师】，如果不是，请点击右上角三角形切换到“创新实验导师”身份。</w:t>
      </w:r>
    </w:p>
    <w:p w14:paraId="7FDF55DB">
      <w:pPr>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指导教师在首页可以看到两个一级菜单：项目管理和审核管理。</w:t>
      </w:r>
    </w:p>
    <w:p w14:paraId="701DD327">
      <w:pPr>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下边会逐个介绍一级菜单下每个二级菜单功能的用途和操作方法。</w:t>
      </w:r>
    </w:p>
    <w:p w14:paraId="38EE14EE">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230" cy="2430145"/>
            <wp:effectExtent l="0" t="0" r="7620" b="825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0"/>
                    <a:stretch>
                      <a:fillRect/>
                    </a:stretch>
                  </pic:blipFill>
                  <pic:spPr>
                    <a:xfrm>
                      <a:off x="0" y="0"/>
                      <a:ext cx="5269230" cy="2430145"/>
                    </a:xfrm>
                    <a:prstGeom prst="rect">
                      <a:avLst/>
                    </a:prstGeom>
                    <a:noFill/>
                    <a:ln>
                      <a:noFill/>
                    </a:ln>
                  </pic:spPr>
                </pic:pic>
              </a:graphicData>
            </a:graphic>
          </wp:inline>
        </w:drawing>
      </w:r>
    </w:p>
    <w:p w14:paraId="2B66D80B">
      <w:pPr>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图5</w:t>
      </w:r>
    </w:p>
    <w:p w14:paraId="70C89E4D">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立项审核</w:t>
      </w:r>
    </w:p>
    <w:p w14:paraId="0B2AA6CD">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立项审核菜单提供给指导老师对学生立项申请进行审核，切换到【审核管理】一级菜单，点击如下图6的【立项审核】图标，进入下图7的页面。</w:t>
      </w:r>
    </w:p>
    <w:p w14:paraId="6E0ECBF0">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立项审核页面包含“待审核”和“已审核”两个tab页面。</w:t>
      </w:r>
    </w:p>
    <w:p w14:paraId="02082647">
      <w:pPr>
        <w:pageBreakBefore w:val="0"/>
        <w:widowControl w:val="0"/>
        <w:numPr>
          <w:ilvl w:val="0"/>
          <w:numId w:val="2"/>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在“待审核”tab页面中，指导老师可以看到需要本人审核的学生立项申请，点击操作列按钮【审核】或【批量审核】功能按钮可以进行审核操作。</w:t>
      </w:r>
    </w:p>
    <w:p w14:paraId="08A69B9A">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勾选项目后点击【导出团队成员】按钮可以导出项目的团队成员及指导老师信息；</w:t>
      </w:r>
    </w:p>
    <w:p w14:paraId="5445F6E8">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勾选项目后点击【立项附件下载】按钮可以批量导出所选项目的立项申请附件；</w:t>
      </w:r>
    </w:p>
    <w:p w14:paraId="66FC5AB8">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230" cy="2383790"/>
            <wp:effectExtent l="0" t="0" r="7620" b="1651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1"/>
                    <a:stretch>
                      <a:fillRect/>
                    </a:stretch>
                  </pic:blipFill>
                  <pic:spPr>
                    <a:xfrm>
                      <a:off x="0" y="0"/>
                      <a:ext cx="5269230" cy="2383790"/>
                    </a:xfrm>
                    <a:prstGeom prst="rect">
                      <a:avLst/>
                    </a:prstGeom>
                    <a:noFill/>
                    <a:ln>
                      <a:noFill/>
                    </a:ln>
                  </pic:spPr>
                </pic:pic>
              </a:graphicData>
            </a:graphic>
          </wp:inline>
        </w:drawing>
      </w:r>
    </w:p>
    <w:p w14:paraId="08D4C635">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图6</w:t>
      </w:r>
    </w:p>
    <w:p w14:paraId="18ECC5BB">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71135" cy="3076575"/>
            <wp:effectExtent l="0" t="0" r="5715"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2"/>
                    <a:stretch>
                      <a:fillRect/>
                    </a:stretch>
                  </pic:blipFill>
                  <pic:spPr>
                    <a:xfrm>
                      <a:off x="0" y="0"/>
                      <a:ext cx="5271135" cy="3076575"/>
                    </a:xfrm>
                    <a:prstGeom prst="rect">
                      <a:avLst/>
                    </a:prstGeom>
                    <a:noFill/>
                    <a:ln>
                      <a:noFill/>
                    </a:ln>
                  </pic:spPr>
                </pic:pic>
              </a:graphicData>
            </a:graphic>
          </wp:inline>
        </w:drawing>
      </w:r>
    </w:p>
    <w:p w14:paraId="74C0A072">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图7</w:t>
      </w:r>
    </w:p>
    <w:p w14:paraId="09EBF9F1">
      <w:pPr>
        <w:pageBreakBefore w:val="0"/>
        <w:widowControl w:val="0"/>
        <w:numPr>
          <w:ilvl w:val="0"/>
          <w:numId w:val="4"/>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如下图8为“已审核”tab页面，指导教师可以查询本人审核过的立项数据。</w:t>
      </w:r>
    </w:p>
    <w:p w14:paraId="0F2FC359">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勾选项目后点击【导出团队成员】按钮可以导出项目的团队成员及指导老师信息；</w:t>
      </w:r>
    </w:p>
    <w:p w14:paraId="61854D7E">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勾选项目后点击【立项附件下载】按钮可以批量导出所选项目的立项申请附件；</w:t>
      </w:r>
    </w:p>
    <w:p w14:paraId="31D25CD2">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73040" cy="2991485"/>
            <wp:effectExtent l="0" t="0" r="3810" b="889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3"/>
                    <a:stretch>
                      <a:fillRect/>
                    </a:stretch>
                  </pic:blipFill>
                  <pic:spPr>
                    <a:xfrm>
                      <a:off x="0" y="0"/>
                      <a:ext cx="5273040" cy="2991485"/>
                    </a:xfrm>
                    <a:prstGeom prst="rect">
                      <a:avLst/>
                    </a:prstGeom>
                    <a:noFill/>
                    <a:ln>
                      <a:noFill/>
                    </a:ln>
                  </pic:spPr>
                </pic:pic>
              </a:graphicData>
            </a:graphic>
          </wp:inline>
        </w:drawing>
      </w:r>
    </w:p>
    <w:p w14:paraId="5CB1685A">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图8</w:t>
      </w:r>
    </w:p>
    <w:p w14:paraId="67A72FF4">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中期审核</w:t>
      </w:r>
    </w:p>
    <w:p w14:paraId="2B3415EC">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中期审核菜单提供给指导老师对学生提交的中期检查申请进行审核，如下图9所示，在【审核管理】一级菜单下点击“中期审核”图标，进入下图10的中期审核页面。</w:t>
      </w:r>
    </w:p>
    <w:p w14:paraId="12DD0312">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中期审核页面包含“待审核”和“已审核”两个tab页面。</w:t>
      </w:r>
    </w:p>
    <w:p w14:paraId="7469256F">
      <w:pPr>
        <w:pageBreakBefore w:val="0"/>
        <w:widowControl w:val="0"/>
        <w:numPr>
          <w:ilvl w:val="0"/>
          <w:numId w:val="5"/>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在“待审核”tab页面中，指导老师可以看到需要本人审核的学生中期检查申请，点击操作列按钮【审核】或【批量审核】功能按钮可以进行审核操作。</w:t>
      </w:r>
    </w:p>
    <w:p w14:paraId="2B0B2476">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勾选项目后点击【导出团队成员】按钮可以导出项目的团队成员及指导老师信息；</w:t>
      </w:r>
    </w:p>
    <w:p w14:paraId="170ADCE1">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勾选项目后点击【中期附件下载】按钮可以批量导出所选项目的中期附件。</w:t>
      </w:r>
    </w:p>
    <w:p w14:paraId="1D8006D6">
      <w:pPr>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230" cy="2353310"/>
            <wp:effectExtent l="0" t="0" r="7620" b="889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14"/>
                    <a:stretch>
                      <a:fillRect/>
                    </a:stretch>
                  </pic:blipFill>
                  <pic:spPr>
                    <a:xfrm>
                      <a:off x="0" y="0"/>
                      <a:ext cx="5269230" cy="2353310"/>
                    </a:xfrm>
                    <a:prstGeom prst="rect">
                      <a:avLst/>
                    </a:prstGeom>
                    <a:noFill/>
                    <a:ln>
                      <a:noFill/>
                    </a:ln>
                  </pic:spPr>
                </pic:pic>
              </a:graphicData>
            </a:graphic>
          </wp:inline>
        </w:drawing>
      </w:r>
    </w:p>
    <w:p w14:paraId="6D010859">
      <w:pPr>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图9</w:t>
      </w:r>
    </w:p>
    <w:p w14:paraId="65E4F71F">
      <w:pPr>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1610" cy="2879090"/>
            <wp:effectExtent l="0" t="0" r="5715" b="698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5"/>
                    <a:stretch>
                      <a:fillRect/>
                    </a:stretch>
                  </pic:blipFill>
                  <pic:spPr>
                    <a:xfrm>
                      <a:off x="0" y="0"/>
                      <a:ext cx="5261610" cy="2879090"/>
                    </a:xfrm>
                    <a:prstGeom prst="rect">
                      <a:avLst/>
                    </a:prstGeom>
                    <a:noFill/>
                    <a:ln>
                      <a:noFill/>
                    </a:ln>
                  </pic:spPr>
                </pic:pic>
              </a:graphicData>
            </a:graphic>
          </wp:inline>
        </w:drawing>
      </w:r>
    </w:p>
    <w:p w14:paraId="6DD87A0A">
      <w:pPr>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图10</w:t>
      </w:r>
    </w:p>
    <w:p w14:paraId="4870FE33">
      <w:pPr>
        <w:pageBreakBefore w:val="0"/>
        <w:widowControl w:val="0"/>
        <w:numPr>
          <w:ilvl w:val="0"/>
          <w:numId w:val="5"/>
        </w:numPr>
        <w:kinsoku/>
        <w:wordWrap/>
        <w:overflowPunct/>
        <w:topLinePunct w:val="0"/>
        <w:autoSpaceDE/>
        <w:autoSpaceDN/>
        <w:bidi w:val="0"/>
        <w:adjustRightInd/>
        <w:snapToGrid/>
        <w:spacing w:line="360" w:lineRule="auto"/>
        <w:ind w:left="0" w:leftChars="0" w:firstLine="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如下图11为“已审核”tab页面，指导教师可以查询本人审核过的中期检查数据。</w:t>
      </w:r>
    </w:p>
    <w:p w14:paraId="488E5DEA">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勾选项目后点击【导出团队成员】按钮可以导出项目的团队成员及指导老师信息；</w:t>
      </w:r>
    </w:p>
    <w:p w14:paraId="37B4B1C0">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勾选项目后点击【中期附件下载】按钮可以批量导出所选项目的中期附件。</w:t>
      </w:r>
    </w:p>
    <w:p w14:paraId="7F81A76F">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73675" cy="3074670"/>
            <wp:effectExtent l="0" t="0" r="3175" b="190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6"/>
                    <a:stretch>
                      <a:fillRect/>
                    </a:stretch>
                  </pic:blipFill>
                  <pic:spPr>
                    <a:xfrm>
                      <a:off x="0" y="0"/>
                      <a:ext cx="5273675" cy="3074670"/>
                    </a:xfrm>
                    <a:prstGeom prst="rect">
                      <a:avLst/>
                    </a:prstGeom>
                    <a:noFill/>
                    <a:ln>
                      <a:noFill/>
                    </a:ln>
                  </pic:spPr>
                </pic:pic>
              </a:graphicData>
            </a:graphic>
          </wp:inline>
        </w:drawing>
      </w:r>
    </w:p>
    <w:p w14:paraId="7981BB2D">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图11</w:t>
      </w:r>
    </w:p>
    <w:p w14:paraId="00E2B1A8">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过程审核</w:t>
      </w:r>
    </w:p>
    <w:p w14:paraId="59C17439">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过程审核菜单提供给指导老师对学生提交的过程变更申请进行审核，如下图12所示，在【审核管理】一级菜单下点击“过程审核”图标，进入下图13的过程审核页面。</w:t>
      </w:r>
    </w:p>
    <w:p w14:paraId="742E2777">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230" cy="2353310"/>
            <wp:effectExtent l="0" t="0" r="7620" b="8890"/>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pic:cNvPicPr>
                      <a:picLocks noChangeAspect="1"/>
                    </pic:cNvPicPr>
                  </pic:nvPicPr>
                  <pic:blipFill>
                    <a:blip r:embed="rId17"/>
                    <a:stretch>
                      <a:fillRect/>
                    </a:stretch>
                  </pic:blipFill>
                  <pic:spPr>
                    <a:xfrm>
                      <a:off x="0" y="0"/>
                      <a:ext cx="5269230" cy="2353310"/>
                    </a:xfrm>
                    <a:prstGeom prst="rect">
                      <a:avLst/>
                    </a:prstGeom>
                    <a:noFill/>
                    <a:ln>
                      <a:noFill/>
                    </a:ln>
                  </pic:spPr>
                </pic:pic>
              </a:graphicData>
            </a:graphic>
          </wp:inline>
        </w:drawing>
      </w:r>
    </w:p>
    <w:p w14:paraId="02A38903">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图12</w:t>
      </w:r>
    </w:p>
    <w:p w14:paraId="260BAE07">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1610" cy="3006090"/>
            <wp:effectExtent l="0" t="0" r="5715" b="3810"/>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18"/>
                    <a:stretch>
                      <a:fillRect/>
                    </a:stretch>
                  </pic:blipFill>
                  <pic:spPr>
                    <a:xfrm>
                      <a:off x="0" y="0"/>
                      <a:ext cx="5261610" cy="3006090"/>
                    </a:xfrm>
                    <a:prstGeom prst="rect">
                      <a:avLst/>
                    </a:prstGeom>
                    <a:noFill/>
                    <a:ln>
                      <a:noFill/>
                    </a:ln>
                  </pic:spPr>
                </pic:pic>
              </a:graphicData>
            </a:graphic>
          </wp:inline>
        </w:drawing>
      </w:r>
    </w:p>
    <w:p w14:paraId="731CC379">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图13</w:t>
      </w:r>
    </w:p>
    <w:p w14:paraId="6F41BCAB">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过程审核页面共包含5个过程管理：延期申请审核、成员变更审核、导师变更审核、经费变更审核、经费报账审核和题目变更审核。每个审核功能都包含“待审核”和“已审核”两个tab页面。详细操作方法比较简单，此处不再赘述。</w:t>
      </w:r>
    </w:p>
    <w:p w14:paraId="005C4016">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结项审核</w:t>
      </w:r>
    </w:p>
    <w:p w14:paraId="0C210A5C">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结项审核菜单提供给指导老师对学生提交的结项申请进行审核，如下图14所示，在【审核管理】一级菜单下点击“结项审核”图标，进入下图15的结项审核页面。</w:t>
      </w:r>
    </w:p>
    <w:p w14:paraId="3BB0BEAB">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结项审核页面包含“待审核”和“已审核”两个tab页面。</w:t>
      </w:r>
    </w:p>
    <w:p w14:paraId="549066E3">
      <w:pPr>
        <w:pageBreakBefore w:val="0"/>
        <w:widowControl w:val="0"/>
        <w:numPr>
          <w:ilvl w:val="0"/>
          <w:numId w:val="6"/>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在“待审核”tab页面中，指导老师可以看到需要本人审核的学生结项申请，点击操作列按钮【审核】或【批量审核】功能按钮可以进行审核操作。</w:t>
      </w:r>
    </w:p>
    <w:p w14:paraId="6A2AD049">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勾选项目后点击【导出团队成员】按钮可以导出项目的团队成员及指导老师信息；</w:t>
      </w:r>
    </w:p>
    <w:p w14:paraId="40B6562E">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勾选项目后点击【结项附件下载】按钮可以批量导出所选项目的结项附件。</w:t>
      </w:r>
    </w:p>
    <w:p w14:paraId="241DF237">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230" cy="2337435"/>
            <wp:effectExtent l="0" t="0" r="7620" b="5715"/>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pic:cNvPicPr>
                      <a:picLocks noChangeAspect="1"/>
                    </pic:cNvPicPr>
                  </pic:nvPicPr>
                  <pic:blipFill>
                    <a:blip r:embed="rId19"/>
                    <a:stretch>
                      <a:fillRect/>
                    </a:stretch>
                  </pic:blipFill>
                  <pic:spPr>
                    <a:xfrm>
                      <a:off x="0" y="0"/>
                      <a:ext cx="5269230" cy="2337435"/>
                    </a:xfrm>
                    <a:prstGeom prst="rect">
                      <a:avLst/>
                    </a:prstGeom>
                    <a:noFill/>
                    <a:ln>
                      <a:noFill/>
                    </a:ln>
                  </pic:spPr>
                </pic:pic>
              </a:graphicData>
            </a:graphic>
          </wp:inline>
        </w:drawing>
      </w:r>
    </w:p>
    <w:p w14:paraId="01567610">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图14</w:t>
      </w:r>
    </w:p>
    <w:p w14:paraId="586468A2">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73040" cy="2861310"/>
            <wp:effectExtent l="0" t="0" r="3810" b="5715"/>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20"/>
                    <a:stretch>
                      <a:fillRect/>
                    </a:stretch>
                  </pic:blipFill>
                  <pic:spPr>
                    <a:xfrm>
                      <a:off x="0" y="0"/>
                      <a:ext cx="5273040" cy="2861310"/>
                    </a:xfrm>
                    <a:prstGeom prst="rect">
                      <a:avLst/>
                    </a:prstGeom>
                    <a:noFill/>
                    <a:ln>
                      <a:noFill/>
                    </a:ln>
                  </pic:spPr>
                </pic:pic>
              </a:graphicData>
            </a:graphic>
          </wp:inline>
        </w:drawing>
      </w:r>
    </w:p>
    <w:p w14:paraId="3CEED7CB">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图15</w:t>
      </w:r>
    </w:p>
    <w:p w14:paraId="4212A04E">
      <w:pPr>
        <w:pageBreakBefore w:val="0"/>
        <w:widowControl w:val="0"/>
        <w:numPr>
          <w:ilvl w:val="0"/>
          <w:numId w:val="6"/>
        </w:numPr>
        <w:kinsoku/>
        <w:wordWrap/>
        <w:overflowPunct/>
        <w:topLinePunct w:val="0"/>
        <w:autoSpaceDE/>
        <w:autoSpaceDN/>
        <w:bidi w:val="0"/>
        <w:adjustRightInd/>
        <w:snapToGrid/>
        <w:spacing w:line="360" w:lineRule="auto"/>
        <w:ind w:left="0" w:leftChars="0" w:firstLine="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如下图16为“已审核”tab页面，指导教师可以查询本人审核过的结项数据。</w:t>
      </w:r>
    </w:p>
    <w:p w14:paraId="01259F0C">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勾选项目后点击【导出团队成员】按钮可以导出项目的团队成员及指导老师信息；</w:t>
      </w:r>
    </w:p>
    <w:p w14:paraId="2950BBEC">
      <w:pPr>
        <w:pageBreakBefore w:val="0"/>
        <w:widowControl w:val="0"/>
        <w:numPr>
          <w:ilvl w:val="0"/>
          <w:numId w:val="3"/>
        </w:numPr>
        <w:kinsoku/>
        <w:wordWrap/>
        <w:overflowPunct/>
        <w:topLinePunct w:val="0"/>
        <w:autoSpaceDE/>
        <w:autoSpaceDN/>
        <w:bidi w:val="0"/>
        <w:adjustRightInd/>
        <w:snapToGrid/>
        <w:spacing w:line="360" w:lineRule="auto"/>
        <w:ind w:left="420" w:leftChars="0" w:hanging="420" w:firstLineChars="0"/>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勾选项目后点击【结项附件下载】按钮可以批量导出所选项目的结项附件。</w:t>
      </w:r>
    </w:p>
    <w:p w14:paraId="1EDC360A">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5420" cy="2763520"/>
            <wp:effectExtent l="0" t="0" r="1905" b="8255"/>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21"/>
                    <a:stretch>
                      <a:fillRect/>
                    </a:stretch>
                  </pic:blipFill>
                  <pic:spPr>
                    <a:xfrm>
                      <a:off x="0" y="0"/>
                      <a:ext cx="5265420" cy="2763520"/>
                    </a:xfrm>
                    <a:prstGeom prst="rect">
                      <a:avLst/>
                    </a:prstGeom>
                    <a:noFill/>
                    <a:ln>
                      <a:noFill/>
                    </a:ln>
                  </pic:spPr>
                </pic:pic>
              </a:graphicData>
            </a:graphic>
          </wp:inline>
        </w:drawing>
      </w:r>
    </w:p>
    <w:p w14:paraId="64799D55">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图16</w:t>
      </w:r>
    </w:p>
    <w:p w14:paraId="06DFE125">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提前终止审核</w:t>
      </w:r>
    </w:p>
    <w:p w14:paraId="1A8933CD">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提前终止审核菜单提供给指导老师对学生提交的提前终止申请进行审核，如下图17所示，在【审核管理】一级菜单下点击“提前终止审核”图标，进入下图18的提前终止审核页面。</w:t>
      </w:r>
    </w:p>
    <w:p w14:paraId="2BB33BE2">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结项审核页面包含“待审核”和“已审核”两个tab页面。</w:t>
      </w:r>
    </w:p>
    <w:p w14:paraId="57350EF4">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（1）在“待审核”tab页面中，指导老师可以看到需要本人审核的学生中期检查申请，点击操作列按钮【审核】或【批量审核】功能按钮可以进行审核操作。</w:t>
      </w:r>
    </w:p>
    <w:p w14:paraId="14678A26">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5420" cy="2322195"/>
            <wp:effectExtent l="0" t="0" r="11430" b="1905"/>
            <wp:docPr id="2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3"/>
                    <pic:cNvPicPr>
                      <a:picLocks noChangeAspect="1"/>
                    </pic:cNvPicPr>
                  </pic:nvPicPr>
                  <pic:blipFill>
                    <a:blip r:embed="rId22"/>
                    <a:stretch>
                      <a:fillRect/>
                    </a:stretch>
                  </pic:blipFill>
                  <pic:spPr>
                    <a:xfrm>
                      <a:off x="0" y="0"/>
                      <a:ext cx="5265420" cy="2322195"/>
                    </a:xfrm>
                    <a:prstGeom prst="rect">
                      <a:avLst/>
                    </a:prstGeom>
                    <a:noFill/>
                    <a:ln>
                      <a:noFill/>
                    </a:ln>
                  </pic:spPr>
                </pic:pic>
              </a:graphicData>
            </a:graphic>
          </wp:inline>
        </w:drawing>
      </w:r>
    </w:p>
    <w:p w14:paraId="656FA22E">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图17</w:t>
      </w:r>
    </w:p>
    <w:p w14:paraId="37180DD7">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2880" cy="2312670"/>
            <wp:effectExtent l="0" t="0" r="13970" b="11430"/>
            <wp:docPr id="2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4"/>
                    <pic:cNvPicPr>
                      <a:picLocks noChangeAspect="1"/>
                    </pic:cNvPicPr>
                  </pic:nvPicPr>
                  <pic:blipFill>
                    <a:blip r:embed="rId23"/>
                    <a:stretch>
                      <a:fillRect/>
                    </a:stretch>
                  </pic:blipFill>
                  <pic:spPr>
                    <a:xfrm>
                      <a:off x="0" y="0"/>
                      <a:ext cx="5262880" cy="2312670"/>
                    </a:xfrm>
                    <a:prstGeom prst="rect">
                      <a:avLst/>
                    </a:prstGeom>
                    <a:noFill/>
                    <a:ln>
                      <a:noFill/>
                    </a:ln>
                  </pic:spPr>
                </pic:pic>
              </a:graphicData>
            </a:graphic>
          </wp:inline>
        </w:drawing>
      </w:r>
    </w:p>
    <w:p w14:paraId="1B859F53">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图18</w:t>
      </w:r>
    </w:p>
    <w:p w14:paraId="4E140A82">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（2）如下图19为“已审核”tab页面，指导教师可以查询本人审核过的提前终止数据。</w:t>
      </w:r>
    </w:p>
    <w:p w14:paraId="54F661B7">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230" cy="2318385"/>
            <wp:effectExtent l="0" t="0" r="7620" b="5715"/>
            <wp:docPr id="2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pic:cNvPicPr>
                      <a:picLocks noChangeAspect="1"/>
                    </pic:cNvPicPr>
                  </pic:nvPicPr>
                  <pic:blipFill>
                    <a:blip r:embed="rId24"/>
                    <a:stretch>
                      <a:fillRect/>
                    </a:stretch>
                  </pic:blipFill>
                  <pic:spPr>
                    <a:xfrm>
                      <a:off x="0" y="0"/>
                      <a:ext cx="5269230" cy="2318385"/>
                    </a:xfrm>
                    <a:prstGeom prst="rect">
                      <a:avLst/>
                    </a:prstGeom>
                    <a:noFill/>
                    <a:ln>
                      <a:noFill/>
                    </a:ln>
                  </pic:spPr>
                </pic:pic>
              </a:graphicData>
            </a:graphic>
          </wp:inline>
        </w:drawing>
      </w:r>
    </w:p>
    <w:p w14:paraId="3967213C">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图19</w:t>
      </w:r>
    </w:p>
    <w:p w14:paraId="4965A674">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导师项目管理</w:t>
      </w:r>
    </w:p>
    <w:p w14:paraId="5246118A">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导师项目管理给导师提供了任务书申请和月报日报的批阅功能，导师可以通过导师项目管理功能进行任务书申请和月报日报的批阅。</w:t>
      </w:r>
    </w:p>
    <w:p w14:paraId="0A8C2DF2">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如下图20所示，在【项目管理】一级菜单下点击“导师项目管理”图标，进入下图21的页面。</w:t>
      </w:r>
    </w:p>
    <w:p w14:paraId="265EE486">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highlight w:val="yellow"/>
          <w:lang w:val="en-US" w:eastAsia="zh-CN"/>
        </w:rPr>
      </w:pPr>
      <w:r>
        <w:rPr>
          <w:rFonts w:hint="eastAsia" w:ascii="宋体" w:hAnsi="宋体" w:eastAsia="宋体" w:cs="宋体"/>
          <w:sz w:val="21"/>
          <w:szCs w:val="21"/>
          <w:lang w:val="en-US" w:eastAsia="zh-CN"/>
        </w:rPr>
        <w:t>（1）任务书申请：点击任务书申请按钮，指导教师可以录入任务书信息提交学院审核</w:t>
      </w:r>
      <w:r>
        <w:rPr>
          <w:rFonts w:hint="eastAsia" w:ascii="宋体" w:hAnsi="宋体" w:eastAsia="宋体" w:cs="宋体"/>
          <w:sz w:val="21"/>
          <w:szCs w:val="21"/>
          <w:highlight w:val="yellow"/>
          <w:lang w:val="en-US" w:eastAsia="zh-CN"/>
        </w:rPr>
        <w:t>（目前学校不使用任务书，该功能先屏蔽）。</w:t>
      </w:r>
    </w:p>
    <w:p w14:paraId="43D31932">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1610" cy="2333625"/>
            <wp:effectExtent l="0" t="0" r="15240" b="9525"/>
            <wp:docPr id="2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6"/>
                    <pic:cNvPicPr>
                      <a:picLocks noChangeAspect="1"/>
                    </pic:cNvPicPr>
                  </pic:nvPicPr>
                  <pic:blipFill>
                    <a:blip r:embed="rId25"/>
                    <a:stretch>
                      <a:fillRect/>
                    </a:stretch>
                  </pic:blipFill>
                  <pic:spPr>
                    <a:xfrm>
                      <a:off x="0" y="0"/>
                      <a:ext cx="5261610" cy="2333625"/>
                    </a:xfrm>
                    <a:prstGeom prst="rect">
                      <a:avLst/>
                    </a:prstGeom>
                    <a:noFill/>
                    <a:ln>
                      <a:noFill/>
                    </a:ln>
                  </pic:spPr>
                </pic:pic>
              </a:graphicData>
            </a:graphic>
          </wp:inline>
        </w:drawing>
      </w:r>
    </w:p>
    <w:p w14:paraId="399A52DE">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图20</w:t>
      </w:r>
    </w:p>
    <w:p w14:paraId="12D1B0E9">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5420" cy="2314575"/>
            <wp:effectExtent l="0" t="0" r="11430" b="9525"/>
            <wp:docPr id="2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7"/>
                    <pic:cNvPicPr>
                      <a:picLocks noChangeAspect="1"/>
                    </pic:cNvPicPr>
                  </pic:nvPicPr>
                  <pic:blipFill>
                    <a:blip r:embed="rId26"/>
                    <a:stretch>
                      <a:fillRect/>
                    </a:stretch>
                  </pic:blipFill>
                  <pic:spPr>
                    <a:xfrm>
                      <a:off x="0" y="0"/>
                      <a:ext cx="5265420" cy="2314575"/>
                    </a:xfrm>
                    <a:prstGeom prst="rect">
                      <a:avLst/>
                    </a:prstGeom>
                    <a:noFill/>
                    <a:ln>
                      <a:noFill/>
                    </a:ln>
                  </pic:spPr>
                </pic:pic>
              </a:graphicData>
            </a:graphic>
          </wp:inline>
        </w:drawing>
      </w:r>
    </w:p>
    <w:p w14:paraId="07244B3E">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图21</w:t>
      </w:r>
    </w:p>
    <w:p w14:paraId="463CD67E">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p>
    <w:p w14:paraId="7DCFA7B5">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（2）月报日报的评阅：导师点击图21操作列中的“月报日报”按钮，弹出如下图22的“月报日报”窗口，可以对学生提交的日报月报进行评阅。</w:t>
      </w:r>
    </w:p>
    <w:p w14:paraId="38116384">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865" cy="2280920"/>
            <wp:effectExtent l="0" t="0" r="6985" b="5080"/>
            <wp:docPr id="3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9"/>
                    <pic:cNvPicPr>
                      <a:picLocks noChangeAspect="1"/>
                    </pic:cNvPicPr>
                  </pic:nvPicPr>
                  <pic:blipFill>
                    <a:blip r:embed="rId27"/>
                    <a:stretch>
                      <a:fillRect/>
                    </a:stretch>
                  </pic:blipFill>
                  <pic:spPr>
                    <a:xfrm>
                      <a:off x="0" y="0"/>
                      <a:ext cx="5269865" cy="2280920"/>
                    </a:xfrm>
                    <a:prstGeom prst="rect">
                      <a:avLst/>
                    </a:prstGeom>
                    <a:noFill/>
                    <a:ln>
                      <a:noFill/>
                    </a:ln>
                  </pic:spPr>
                </pic:pic>
              </a:graphicData>
            </a:graphic>
          </wp:inline>
        </w:drawing>
      </w:r>
    </w:p>
    <w:p w14:paraId="78FF90D2">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b/>
          <w:bCs/>
          <w:sz w:val="21"/>
          <w:szCs w:val="21"/>
          <w:lang w:val="en-US" w:eastAsia="zh-CN"/>
        </w:rPr>
      </w:pPr>
      <w:r>
        <w:rPr>
          <w:rFonts w:hint="eastAsia" w:ascii="宋体" w:hAnsi="宋体" w:eastAsia="宋体" w:cs="宋体"/>
          <w:sz w:val="21"/>
          <w:szCs w:val="21"/>
          <w:lang w:val="en-US" w:eastAsia="zh-CN"/>
        </w:rPr>
        <w:t>图22</w:t>
      </w:r>
    </w:p>
    <w:p w14:paraId="0763B42A">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项目进度查询</w:t>
      </w:r>
    </w:p>
    <w:p w14:paraId="59BEBA6B">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项目进度查询提供所有项目的查询功能，通过项目进行查询可以查询到项目每个节点的状态，包含是否强制终止、立项状态、任务书状态、中期检查状态、提前终止状态、结项状态等。</w:t>
      </w:r>
    </w:p>
    <w:p w14:paraId="0057BE17">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如下图23所示，在【项目管理】一级菜单下点击“项目进度查询”图标，进入下图24的页面。</w:t>
      </w:r>
    </w:p>
    <w:p w14:paraId="5F8EA1C0">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4963795" cy="2228850"/>
            <wp:effectExtent l="0" t="0" r="8255" b="0"/>
            <wp:docPr id="3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0"/>
                    <pic:cNvPicPr>
                      <a:picLocks noChangeAspect="1"/>
                    </pic:cNvPicPr>
                  </pic:nvPicPr>
                  <pic:blipFill>
                    <a:blip r:embed="rId28"/>
                    <a:stretch>
                      <a:fillRect/>
                    </a:stretch>
                  </pic:blipFill>
                  <pic:spPr>
                    <a:xfrm>
                      <a:off x="0" y="0"/>
                      <a:ext cx="4963795" cy="2228850"/>
                    </a:xfrm>
                    <a:prstGeom prst="rect">
                      <a:avLst/>
                    </a:prstGeom>
                    <a:noFill/>
                    <a:ln>
                      <a:noFill/>
                    </a:ln>
                  </pic:spPr>
                </pic:pic>
              </a:graphicData>
            </a:graphic>
          </wp:inline>
        </w:drawing>
      </w:r>
    </w:p>
    <w:p w14:paraId="457C4042">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图23</w:t>
      </w:r>
    </w:p>
    <w:p w14:paraId="79570427">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6690" cy="2982595"/>
            <wp:effectExtent l="0" t="0" r="635" b="8255"/>
            <wp:docPr id="2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9"/>
                    <pic:cNvPicPr>
                      <a:picLocks noChangeAspect="1"/>
                    </pic:cNvPicPr>
                  </pic:nvPicPr>
                  <pic:blipFill>
                    <a:blip r:embed="rId29"/>
                    <a:stretch>
                      <a:fillRect/>
                    </a:stretch>
                  </pic:blipFill>
                  <pic:spPr>
                    <a:xfrm>
                      <a:off x="0" y="0"/>
                      <a:ext cx="5266690" cy="2982595"/>
                    </a:xfrm>
                    <a:prstGeom prst="rect">
                      <a:avLst/>
                    </a:prstGeom>
                    <a:noFill/>
                    <a:ln>
                      <a:noFill/>
                    </a:ln>
                  </pic:spPr>
                </pic:pic>
              </a:graphicData>
            </a:graphic>
          </wp:inline>
        </w:drawing>
      </w:r>
    </w:p>
    <w:p w14:paraId="1F41C577">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图24</w:t>
      </w:r>
    </w:p>
    <w:p w14:paraId="313BEE58">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项目汇总</w:t>
      </w:r>
    </w:p>
    <w:p w14:paraId="54B0ACDA">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项目汇总可以查询到已经立项审核通过的项目信息，可以查询到立项详情和结项详情内容。如下图25所示，在【项目管理】一级菜单下点击“项目汇总”图标，进入下图26的页面。</w:t>
      </w:r>
    </w:p>
    <w:p w14:paraId="447B8200">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72405" cy="2357120"/>
            <wp:effectExtent l="0" t="0" r="4445" b="5080"/>
            <wp:docPr id="3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2"/>
                    <pic:cNvPicPr>
                      <a:picLocks noChangeAspect="1"/>
                    </pic:cNvPicPr>
                  </pic:nvPicPr>
                  <pic:blipFill>
                    <a:blip r:embed="rId30"/>
                    <a:stretch>
                      <a:fillRect/>
                    </a:stretch>
                  </pic:blipFill>
                  <pic:spPr>
                    <a:xfrm>
                      <a:off x="0" y="0"/>
                      <a:ext cx="5272405" cy="2357120"/>
                    </a:xfrm>
                    <a:prstGeom prst="rect">
                      <a:avLst/>
                    </a:prstGeom>
                    <a:noFill/>
                    <a:ln>
                      <a:noFill/>
                    </a:ln>
                  </pic:spPr>
                </pic:pic>
              </a:graphicData>
            </a:graphic>
          </wp:inline>
        </w:drawing>
      </w:r>
    </w:p>
    <w:p w14:paraId="086F9B84">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图25</w:t>
      </w:r>
    </w:p>
    <w:p w14:paraId="366EADB5">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5420" cy="3074670"/>
            <wp:effectExtent l="0" t="0" r="1905" b="1905"/>
            <wp:docPr id="3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2"/>
                    <pic:cNvPicPr>
                      <a:picLocks noChangeAspect="1"/>
                    </pic:cNvPicPr>
                  </pic:nvPicPr>
                  <pic:blipFill>
                    <a:blip r:embed="rId31"/>
                    <a:stretch>
                      <a:fillRect/>
                    </a:stretch>
                  </pic:blipFill>
                  <pic:spPr>
                    <a:xfrm>
                      <a:off x="0" y="0"/>
                      <a:ext cx="5265420" cy="3074670"/>
                    </a:xfrm>
                    <a:prstGeom prst="rect">
                      <a:avLst/>
                    </a:prstGeom>
                    <a:noFill/>
                    <a:ln>
                      <a:noFill/>
                    </a:ln>
                  </pic:spPr>
                </pic:pic>
              </a:graphicData>
            </a:graphic>
          </wp:inline>
        </w:drawing>
      </w:r>
    </w:p>
    <w:p w14:paraId="092C0D40">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图26</w:t>
      </w:r>
    </w:p>
    <w:p w14:paraId="07DF278C">
      <w:pPr>
        <w:pStyle w:val="3"/>
        <w:pageBreakBefore w:val="0"/>
        <w:widowControl w:val="0"/>
        <w:numPr>
          <w:ilvl w:val="0"/>
          <w:numId w:val="1"/>
        </w:numPr>
        <w:kinsoku/>
        <w:wordWrap/>
        <w:overflowPunct/>
        <w:topLinePunct w:val="0"/>
        <w:autoSpaceDE/>
        <w:autoSpaceDN/>
        <w:bidi w:val="0"/>
        <w:adjustRightInd/>
        <w:snapToGrid/>
        <w:spacing w:before="0" w:beforeLines="0" w:after="0" w:afterLines="0"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成果管理</w:t>
      </w:r>
    </w:p>
    <w:p w14:paraId="5CFD53F8">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成果管理提供指导老师对学生上传的所有成果数据的查询和下载。如下图27所示，在【项目管理】一级菜单下点击“成果管理”图标，进入下图28的页面。</w:t>
      </w:r>
    </w:p>
    <w:p w14:paraId="423832E9">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在图28页面中，点击操作列按钮【成果查看】可以查看学生上传的项目成果附件。</w:t>
      </w:r>
    </w:p>
    <w:p w14:paraId="47CCA321">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9865" cy="2370455"/>
            <wp:effectExtent l="0" t="0" r="6985" b="10795"/>
            <wp:docPr id="3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4"/>
                    <pic:cNvPicPr>
                      <a:picLocks noChangeAspect="1"/>
                    </pic:cNvPicPr>
                  </pic:nvPicPr>
                  <pic:blipFill>
                    <a:blip r:embed="rId32"/>
                    <a:stretch>
                      <a:fillRect/>
                    </a:stretch>
                  </pic:blipFill>
                  <pic:spPr>
                    <a:xfrm>
                      <a:off x="0" y="0"/>
                      <a:ext cx="5269865" cy="2370455"/>
                    </a:xfrm>
                    <a:prstGeom prst="rect">
                      <a:avLst/>
                    </a:prstGeom>
                    <a:noFill/>
                    <a:ln>
                      <a:noFill/>
                    </a:ln>
                  </pic:spPr>
                </pic:pic>
              </a:graphicData>
            </a:graphic>
          </wp:inline>
        </w:drawing>
      </w:r>
    </w:p>
    <w:p w14:paraId="6F97EC60">
      <w:pPr>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图27</w:t>
      </w:r>
    </w:p>
    <w:p w14:paraId="22A0DB87">
      <w:pPr>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71770" cy="3048635"/>
            <wp:effectExtent l="0" t="0" r="5080" b="8890"/>
            <wp:docPr id="3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1"/>
                    <pic:cNvPicPr>
                      <a:picLocks noChangeAspect="1"/>
                    </pic:cNvPicPr>
                  </pic:nvPicPr>
                  <pic:blipFill>
                    <a:blip r:embed="rId33"/>
                    <a:stretch>
                      <a:fillRect/>
                    </a:stretch>
                  </pic:blipFill>
                  <pic:spPr>
                    <a:xfrm>
                      <a:off x="0" y="0"/>
                      <a:ext cx="5271770" cy="3048635"/>
                    </a:xfrm>
                    <a:prstGeom prst="rect">
                      <a:avLst/>
                    </a:prstGeom>
                    <a:noFill/>
                    <a:ln>
                      <a:noFill/>
                    </a:ln>
                  </pic:spPr>
                </pic:pic>
              </a:graphicData>
            </a:graphic>
          </wp:inline>
        </w:drawing>
      </w:r>
    </w:p>
    <w:p w14:paraId="2409736B">
      <w:pPr>
        <w:widowControl w:val="0"/>
        <w:numPr>
          <w:ilvl w:val="0"/>
          <w:numId w:val="0"/>
        </w:numPr>
        <w:bidi w:val="0"/>
        <w:jc w:val="center"/>
      </w:pPr>
      <w:r>
        <w:rPr>
          <w:rFonts w:hint="eastAsia"/>
          <w:lang w:val="en-US" w:eastAsia="zh-CN"/>
        </w:rPr>
        <w:t>图28</w:t>
      </w:r>
    </w:p>
    <w:p w14:paraId="4E00674A">
      <w:pPr>
        <w:numPr>
          <w:ilvl w:val="0"/>
          <w:numId w:val="0"/>
        </w:numPr>
        <w:ind w:leftChars="0"/>
        <w:jc w:val="center"/>
      </w:pPr>
      <w:r>
        <w:rPr>
          <w:rFonts w:hint="eastAsia"/>
          <w:lang w:val="en-US" w:eastAsia="zh-CN"/>
        </w:rPr>
        <w:t>============文档结束============</w:t>
      </w: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6AE589">
    <w:pPr>
      <w:pStyle w:val="4"/>
      <w:jc w:val="center"/>
      <w:rPr>
        <w:sz w:val="6"/>
      </w:rPr>
    </w:pPr>
    <w:sdt>
      <w:sdtPr>
        <w:id w:val="-1705238520"/>
        <w:docPartObj>
          <w:docPartGallery w:val="autotext"/>
        </w:docPartObj>
      </w:sdtPr>
      <w:sdtContent>
        <w:r>
          <w:rPr>
            <w:rFonts w:hint="eastAsia"/>
            <w:lang w:val="zh-CN"/>
          </w:rPr>
          <w:t xml:space="preserve">第 </w:t>
        </w:r>
        <w:r>
          <w:rPr>
            <w:b/>
            <w:bCs/>
            <w:sz w:val="24"/>
            <w:szCs w:val="24"/>
          </w:rPr>
          <w:fldChar w:fldCharType="begin"/>
        </w:r>
        <w:r>
          <w:rPr>
            <w:b/>
            <w:bCs/>
          </w:rPr>
          <w:instrText xml:space="preserve">PAGE</w:instrText>
        </w:r>
        <w:r>
          <w:rPr>
            <w:b/>
            <w:bCs/>
            <w:sz w:val="24"/>
            <w:szCs w:val="24"/>
          </w:rPr>
          <w:fldChar w:fldCharType="separate"/>
        </w:r>
        <w:r>
          <w:rPr>
            <w:b/>
            <w:bCs/>
          </w:rPr>
          <w:t>4</w:t>
        </w:r>
        <w:r>
          <w:rPr>
            <w:b/>
            <w:bCs/>
            <w:sz w:val="24"/>
            <w:szCs w:val="24"/>
          </w:rPr>
          <w:fldChar w:fldCharType="end"/>
        </w:r>
        <w:r>
          <w:rPr>
            <w:b/>
            <w:bCs/>
            <w:sz w:val="24"/>
            <w:szCs w:val="24"/>
          </w:rPr>
          <w:t xml:space="preserve"> </w:t>
        </w:r>
        <w:r>
          <w:rPr>
            <w:rFonts w:hint="eastAsia"/>
            <w:lang w:val="zh-CN"/>
          </w:rPr>
          <w:t>页</w:t>
        </w:r>
        <w:r>
          <w:rPr>
            <w:lang w:val="zh-CN"/>
          </w:rPr>
          <w:t xml:space="preserve"> </w:t>
        </w:r>
        <w:r>
          <w:rPr>
            <w:rFonts w:hint="eastAsia"/>
            <w:lang w:val="zh-CN"/>
          </w:rPr>
          <w:t>，</w:t>
        </w:r>
        <w:r>
          <w:rPr>
            <w:lang w:val="zh-CN"/>
          </w:rPr>
          <w:t xml:space="preserve"> </w:t>
        </w:r>
        <w:r>
          <w:rPr>
            <w:rFonts w:hint="eastAsia"/>
            <w:lang w:val="zh-CN"/>
          </w:rPr>
          <w:t>共</w:t>
        </w:r>
        <w:r>
          <w:rPr>
            <w:lang w:val="zh-CN"/>
          </w:rPr>
          <w:t xml:space="preserve"> </w:t>
        </w:r>
        <w:r>
          <w:rPr>
            <w:b/>
            <w:bCs/>
            <w:sz w:val="24"/>
            <w:szCs w:val="24"/>
          </w:rPr>
          <w:fldChar w:fldCharType="begin"/>
        </w:r>
        <w:r>
          <w:rPr>
            <w:b/>
            <w:bCs/>
          </w:rPr>
          <w:instrText xml:space="preserve">NUMPAGES</w:instrText>
        </w:r>
        <w:r>
          <w:rPr>
            <w:b/>
            <w:bCs/>
            <w:sz w:val="24"/>
            <w:szCs w:val="24"/>
          </w:rPr>
          <w:fldChar w:fldCharType="separate"/>
        </w:r>
        <w:r>
          <w:rPr>
            <w:b/>
            <w:bCs/>
          </w:rPr>
          <w:t>4</w:t>
        </w:r>
        <w:r>
          <w:rPr>
            <w:b/>
            <w:bCs/>
            <w:sz w:val="24"/>
            <w:szCs w:val="24"/>
          </w:rPr>
          <w:fldChar w:fldCharType="end"/>
        </w:r>
      </w:sdtContent>
    </w:sdt>
    <w:r>
      <w:t xml:space="preserve"> </w:t>
    </w:r>
    <w:r>
      <w:rPr>
        <w:rFonts w:hint="eastAsia"/>
        <w:lang w:val="zh-CN"/>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4A7EED">
    <w:pPr>
      <w:pStyle w:val="5"/>
      <w:pBdr>
        <w:bottom w:val="none" w:color="auto" w:sz="0" w:space="0"/>
      </w:pBdr>
      <w:jc w:val="both"/>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30FF7"/>
    <w:multiLevelType w:val="singleLevel"/>
    <w:tmpl w:val="8CA30FF7"/>
    <w:lvl w:ilvl="0" w:tentative="0">
      <w:start w:val="1"/>
      <w:numFmt w:val="decimal"/>
      <w:suff w:val="nothing"/>
      <w:lvlText w:val="（%1）"/>
      <w:lvlJc w:val="left"/>
    </w:lvl>
  </w:abstractNum>
  <w:abstractNum w:abstractNumId="1">
    <w:nsid w:val="C02EC963"/>
    <w:multiLevelType w:val="singleLevel"/>
    <w:tmpl w:val="C02EC963"/>
    <w:lvl w:ilvl="0" w:tentative="0">
      <w:start w:val="2"/>
      <w:numFmt w:val="decimal"/>
      <w:suff w:val="nothing"/>
      <w:lvlText w:val="（%1）"/>
      <w:lvlJc w:val="left"/>
    </w:lvl>
  </w:abstractNum>
  <w:abstractNum w:abstractNumId="2">
    <w:nsid w:val="03EBAA6F"/>
    <w:multiLevelType w:val="singleLevel"/>
    <w:tmpl w:val="03EBAA6F"/>
    <w:lvl w:ilvl="0" w:tentative="0">
      <w:start w:val="2"/>
      <w:numFmt w:val="decimal"/>
      <w:suff w:val="nothing"/>
      <w:lvlText w:val="%1、"/>
      <w:lvlJc w:val="left"/>
    </w:lvl>
  </w:abstractNum>
  <w:abstractNum w:abstractNumId="3">
    <w:nsid w:val="3A6A961B"/>
    <w:multiLevelType w:val="singleLevel"/>
    <w:tmpl w:val="3A6A961B"/>
    <w:lvl w:ilvl="0" w:tentative="0">
      <w:start w:val="1"/>
      <w:numFmt w:val="bullet"/>
      <w:lvlText w:val=""/>
      <w:lvlJc w:val="left"/>
      <w:pPr>
        <w:ind w:left="420" w:hanging="420"/>
      </w:pPr>
      <w:rPr>
        <w:rFonts w:hint="default" w:ascii="Wingdings" w:hAnsi="Wingdings"/>
      </w:rPr>
    </w:lvl>
  </w:abstractNum>
  <w:abstractNum w:abstractNumId="4">
    <w:nsid w:val="43EFFAC4"/>
    <w:multiLevelType w:val="singleLevel"/>
    <w:tmpl w:val="43EFFAC4"/>
    <w:lvl w:ilvl="0" w:tentative="0">
      <w:start w:val="1"/>
      <w:numFmt w:val="decimal"/>
      <w:suff w:val="nothing"/>
      <w:lvlText w:val="（%1）"/>
      <w:lvlJc w:val="left"/>
    </w:lvl>
  </w:abstractNum>
  <w:abstractNum w:abstractNumId="5">
    <w:nsid w:val="7005C1DE"/>
    <w:multiLevelType w:val="singleLevel"/>
    <w:tmpl w:val="7005C1DE"/>
    <w:lvl w:ilvl="0" w:tentative="0">
      <w:start w:val="1"/>
      <w:numFmt w:val="decimal"/>
      <w:suff w:val="nothing"/>
      <w:lvlText w:val="（%1）"/>
      <w:lvlJc w:val="left"/>
    </w:lvl>
  </w:abstractNum>
  <w:num w:numId="1">
    <w:abstractNumId w:val="2"/>
  </w:num>
  <w:num w:numId="2">
    <w:abstractNumId w:val="0"/>
  </w:num>
  <w:num w:numId="3">
    <w:abstractNumId w:val="3"/>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6"/>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2UyYjQ4MjQxMzEwZGJjOGQyZmIzMDkxNzVhMjg2NTEifQ=="/>
  </w:docVars>
  <w:rsids>
    <w:rsidRoot w:val="009C6401"/>
    <w:rsid w:val="00051C6A"/>
    <w:rsid w:val="000F3270"/>
    <w:rsid w:val="00177EC2"/>
    <w:rsid w:val="001A7C45"/>
    <w:rsid w:val="00294F72"/>
    <w:rsid w:val="002C03A7"/>
    <w:rsid w:val="002F2CED"/>
    <w:rsid w:val="00315AF3"/>
    <w:rsid w:val="00335A0F"/>
    <w:rsid w:val="00345500"/>
    <w:rsid w:val="00351F88"/>
    <w:rsid w:val="00385B58"/>
    <w:rsid w:val="0039776A"/>
    <w:rsid w:val="003C51F4"/>
    <w:rsid w:val="003F5F39"/>
    <w:rsid w:val="00434DB5"/>
    <w:rsid w:val="00471B46"/>
    <w:rsid w:val="00475A74"/>
    <w:rsid w:val="004864F8"/>
    <w:rsid w:val="00544A11"/>
    <w:rsid w:val="005468EC"/>
    <w:rsid w:val="0055734B"/>
    <w:rsid w:val="00575719"/>
    <w:rsid w:val="0067237E"/>
    <w:rsid w:val="006B7C2D"/>
    <w:rsid w:val="006D6D2F"/>
    <w:rsid w:val="007227DA"/>
    <w:rsid w:val="007A26A5"/>
    <w:rsid w:val="007C6EC1"/>
    <w:rsid w:val="00846A46"/>
    <w:rsid w:val="00891D55"/>
    <w:rsid w:val="008C048C"/>
    <w:rsid w:val="008D0CFD"/>
    <w:rsid w:val="008D6459"/>
    <w:rsid w:val="008F26CB"/>
    <w:rsid w:val="008F2ADA"/>
    <w:rsid w:val="00941F31"/>
    <w:rsid w:val="00983302"/>
    <w:rsid w:val="009A3722"/>
    <w:rsid w:val="009B6315"/>
    <w:rsid w:val="009C6401"/>
    <w:rsid w:val="009F677F"/>
    <w:rsid w:val="00A110A1"/>
    <w:rsid w:val="00A255F9"/>
    <w:rsid w:val="00A87077"/>
    <w:rsid w:val="00AE470B"/>
    <w:rsid w:val="00AF4DE5"/>
    <w:rsid w:val="00B667F5"/>
    <w:rsid w:val="00B82EBD"/>
    <w:rsid w:val="00BC5906"/>
    <w:rsid w:val="00C0367E"/>
    <w:rsid w:val="00C25783"/>
    <w:rsid w:val="00C61250"/>
    <w:rsid w:val="00CA0FA1"/>
    <w:rsid w:val="00CA61F9"/>
    <w:rsid w:val="00D30B5B"/>
    <w:rsid w:val="00D45565"/>
    <w:rsid w:val="00D57F82"/>
    <w:rsid w:val="00D778D7"/>
    <w:rsid w:val="00D82598"/>
    <w:rsid w:val="00DC16EC"/>
    <w:rsid w:val="00DD6CA3"/>
    <w:rsid w:val="00E950CE"/>
    <w:rsid w:val="00F207A4"/>
    <w:rsid w:val="00F207EA"/>
    <w:rsid w:val="00F777BB"/>
    <w:rsid w:val="00FE54F0"/>
    <w:rsid w:val="05F663AC"/>
    <w:rsid w:val="190A7C1D"/>
    <w:rsid w:val="1AC94112"/>
    <w:rsid w:val="232621DD"/>
    <w:rsid w:val="235802B8"/>
    <w:rsid w:val="3FCC262F"/>
    <w:rsid w:val="45995681"/>
    <w:rsid w:val="4A737F5C"/>
    <w:rsid w:val="50502C94"/>
    <w:rsid w:val="50AF4931"/>
    <w:rsid w:val="55D72043"/>
    <w:rsid w:val="5A074F1E"/>
    <w:rsid w:val="5A1350AA"/>
    <w:rsid w:val="611A57B6"/>
    <w:rsid w:val="611B344F"/>
    <w:rsid w:val="6F8A0B87"/>
    <w:rsid w:val="6FFD5AAF"/>
    <w:rsid w:val="77F945A8"/>
    <w:rsid w:val="7B024B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4">
    <w:name w:val="footer"/>
    <w:basedOn w:val="1"/>
    <w:link w:val="11"/>
    <w:unhideWhenUsed/>
    <w:qFormat/>
    <w:uiPriority w:val="99"/>
    <w:pPr>
      <w:tabs>
        <w:tab w:val="center" w:pos="4153"/>
        <w:tab w:val="right" w:pos="8306"/>
      </w:tabs>
      <w:snapToGrid w:val="0"/>
      <w:jc w:val="left"/>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Hyperlink"/>
    <w:basedOn w:val="7"/>
    <w:uiPriority w:val="0"/>
    <w:rPr>
      <w:color w:val="0563C1" w:themeColor="hyperlink"/>
      <w:u w:val="single"/>
      <w14:textFill>
        <w14:solidFill>
          <w14:schemeClr w14:val="hlink"/>
        </w14:solidFill>
      </w14:textFill>
    </w:rPr>
  </w:style>
  <w:style w:type="paragraph" w:styleId="9">
    <w:name w:val="List Paragraph"/>
    <w:basedOn w:val="1"/>
    <w:link w:val="12"/>
    <w:qFormat/>
    <w:uiPriority w:val="34"/>
    <w:pPr>
      <w:ind w:firstLine="420" w:firstLineChars="200"/>
    </w:pPr>
  </w:style>
  <w:style w:type="character" w:customStyle="1" w:styleId="10">
    <w:name w:val="页眉 Char"/>
    <w:basedOn w:val="7"/>
    <w:link w:val="5"/>
    <w:qFormat/>
    <w:uiPriority w:val="99"/>
    <w:rPr>
      <w:sz w:val="18"/>
      <w:szCs w:val="18"/>
    </w:rPr>
  </w:style>
  <w:style w:type="character" w:customStyle="1" w:styleId="11">
    <w:name w:val="页脚 Char"/>
    <w:basedOn w:val="7"/>
    <w:link w:val="4"/>
    <w:qFormat/>
    <w:uiPriority w:val="99"/>
    <w:rPr>
      <w:sz w:val="18"/>
      <w:szCs w:val="18"/>
    </w:rPr>
  </w:style>
  <w:style w:type="character" w:customStyle="1" w:styleId="12">
    <w:name w:val="列出段落 Char"/>
    <w:basedOn w:val="7"/>
    <w:link w:val="9"/>
    <w:qFormat/>
    <w:uiPriority w:val="34"/>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a:solidFill>
            <a:srgbClr val="FF00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w="28575">
          <a:solidFill>
            <a:schemeClr val="accent2">
              <a:lumMod val="75000"/>
            </a:schemeClr>
          </a:solidFill>
          <a:tailEnd type="triangle"/>
        </a:ln>
      </a:spPr>
      <a:bodyPr/>
      <a:lstStyle/>
      <a:style>
        <a:lnRef idx="1">
          <a:schemeClr val="accent1"/>
        </a:lnRef>
        <a:fillRef idx="0">
          <a:schemeClr val="accent1"/>
        </a:fillRef>
        <a:effectRef idx="0">
          <a:schemeClr val="accent1"/>
        </a:effectRef>
        <a:fontRef idx="minor">
          <a:schemeClr val="tx1"/>
        </a:fontRef>
      </a:style>
    </a:lnDef>
  </a:objectDefaults>
</a:theme>
</file>

<file path=docProps/app.xml><?xml version="1.0" encoding="utf-8"?>
<Properties xmlns="http://schemas.openxmlformats.org/officeDocument/2006/extended-properties" xmlns:vt="http://schemas.openxmlformats.org/officeDocument/2006/docPropsVTypes">
  <Template>Normal.dotm</Template>
  <Pages>14</Pages>
  <Words>2514</Words>
  <Characters>2627</Characters>
  <Lines>7</Lines>
  <Paragraphs>2</Paragraphs>
  <TotalTime>4</TotalTime>
  <ScaleCrop>false</ScaleCrop>
  <LinksUpToDate>false</LinksUpToDate>
  <CharactersWithSpaces>2627</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2018-12-18T02:13:00Z</dcterms:created>
  <dc:creator>司 正住</dc:creator>
  <cp:lastModifiedBy>丁一一</cp:lastModifiedBy>
  <cp:lastPrinted>2018-12-20T09:12:00Z</cp:lastPrinted>
  <dcterms:modified xsi:type="dcterms:W3CDTF">2025-05-08T07:05:06Z</dcterms:modified>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590DA860381C4389A13AE6EB8B9E0DAF</vt:lpwstr>
  </property>
  <property fmtid="{D5CDD505-2E9C-101B-9397-08002B2CF9AE}" pid="4" name="KSOTemplateDocerSaveRecord">
    <vt:lpwstr>eyJoZGlkIjoiMzEwNTM5NzYwMDRjMzkwZTVkZjY2ODkwMGIxNGU0OTUiLCJ1c2VySWQiOiI0MDc2NTIwMDYifQ==</vt:lpwstr>
  </property>
</Properties>
</file>