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A1207F">
      <w:pPr>
        <w:spacing w:before="4500"/>
      </w:pPr>
    </w:p>
    <w:p w14:paraId="1D2B07A3">
      <w:pPr>
        <w:spacing w:after="200"/>
        <w:jc w:val="center"/>
      </w:pPr>
      <w:r>
        <w:rPr>
          <w:rFonts w:eastAsia="黑体"/>
          <w:color w:val="1E3A5F"/>
          <w:sz w:val="56"/>
        </w:rPr>
        <w:t>优星计划管理系统</w:t>
      </w:r>
    </w:p>
    <w:p w14:paraId="55F17021">
      <w:pPr>
        <w:spacing w:after="3000"/>
        <w:jc w:val="center"/>
      </w:pPr>
      <w:r>
        <w:rPr>
          <w:rFonts w:eastAsia="黑体"/>
          <w:color w:val="C9A227"/>
          <w:sz w:val="44"/>
        </w:rPr>
        <w:t>学生操作手册</w:t>
      </w:r>
    </w:p>
    <w:p w14:paraId="22FB3D98">
      <w:pPr>
        <w:spacing w:after="120"/>
        <w:jc w:val="center"/>
      </w:pPr>
      <w:r>
        <w:rPr>
          <w:color w:val="4A5568"/>
          <w:sz w:val="24"/>
        </w:rPr>
        <w:t>适用对象：北京大学医学部在校学生</w:t>
      </w:r>
    </w:p>
    <w:p w14:paraId="6A693E61">
      <w:pPr>
        <w:jc w:val="center"/>
      </w:pPr>
      <w:r>
        <w:rPr>
          <w:color w:val="718096"/>
          <w:sz w:val="22"/>
        </w:rPr>
        <w:t>更新时间：2026年9月</w:t>
      </w:r>
    </w:p>
    <w:p w14:paraId="69A5CC7A">
      <w:pPr>
        <w:sectPr>
          <w:pgSz w:w="11906" w:h="16838"/>
          <w:pgMar w:top="0" w:right="0" w:bottom="0" w:left="0" w:header="0" w:footer="0" w:gutter="0"/>
          <w:cols w:space="720" w:num="1"/>
        </w:sectPr>
      </w:pPr>
    </w:p>
    <w:p w14:paraId="156FE4AC">
      <w:pPr>
        <w:spacing w:before="400" w:after="400"/>
        <w:jc w:val="center"/>
      </w:pPr>
      <w:r>
        <w:rPr>
          <w:rFonts w:eastAsia="黑体"/>
          <w:b/>
          <w:color w:val="1E3A5F"/>
          <w:sz w:val="36"/>
        </w:rPr>
        <w:t>目  录</w:t>
      </w:r>
    </w:p>
    <w:p w14:paraId="5A2377D2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_Toc1806203273 </w:instrText>
      </w:r>
      <w:r>
        <w:fldChar w:fldCharType="separate"/>
      </w:r>
      <w:r>
        <w:rPr>
          <w:rFonts w:eastAsia="黑体"/>
        </w:rPr>
        <w:t>1. 系统登录</w:t>
      </w:r>
      <w:r>
        <w:tab/>
      </w:r>
      <w:r>
        <w:fldChar w:fldCharType="begin"/>
      </w:r>
      <w:r>
        <w:instrText xml:space="preserve"> PAGEREF _Toc1806203273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4BFD1038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_Toc29575319 </w:instrText>
      </w:r>
      <w:r>
        <w:fldChar w:fldCharType="separate"/>
      </w:r>
      <w:r>
        <w:rPr>
          <w:rFonts w:eastAsia="黑体"/>
        </w:rPr>
        <w:t>1.1 访问地址</w:t>
      </w:r>
      <w:r>
        <w:tab/>
      </w:r>
      <w:r>
        <w:fldChar w:fldCharType="begin"/>
      </w:r>
      <w:r>
        <w:instrText xml:space="preserve"> PAGEREF _Toc29575319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3B9387E8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_Toc1003663976 </w:instrText>
      </w:r>
      <w:r>
        <w:fldChar w:fldCharType="separate"/>
      </w:r>
      <w:r>
        <w:rPr>
          <w:rFonts w:eastAsia="黑体"/>
        </w:rPr>
        <w:t>1.2 登录操作</w:t>
      </w:r>
      <w:bookmarkStart w:id="38" w:name="_GoBack"/>
      <w:bookmarkEnd w:id="38"/>
      <w:r>
        <w:tab/>
      </w:r>
      <w:r>
        <w:fldChar w:fldCharType="begin"/>
      </w:r>
      <w:r>
        <w:instrText xml:space="preserve"> PAGEREF _Toc1003663976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54FF11B0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_Toc96397447 </w:instrText>
      </w:r>
      <w:r>
        <w:fldChar w:fldCharType="separate"/>
      </w:r>
      <w:r>
        <w:rPr>
          <w:rFonts w:eastAsia="黑体"/>
        </w:rPr>
        <w:t>1.3 进入应用</w:t>
      </w:r>
      <w:r>
        <w:tab/>
      </w:r>
      <w:r>
        <w:fldChar w:fldCharType="begin"/>
      </w:r>
      <w:r>
        <w:instrText xml:space="preserve"> PAGEREF _Toc96397447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4EC64645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_Toc949221891 </w:instrText>
      </w:r>
      <w:r>
        <w:fldChar w:fldCharType="separate"/>
      </w:r>
      <w:r>
        <w:rPr>
          <w:rFonts w:eastAsia="黑体"/>
        </w:rPr>
        <w:t>2. 核心操作总流程</w:t>
      </w:r>
      <w:r>
        <w:tab/>
      </w:r>
      <w:r>
        <w:fldChar w:fldCharType="begin"/>
      </w:r>
      <w:r>
        <w:instrText xml:space="preserve"> PAGEREF _Toc949221891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7A36019B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_Toc2063792121 </w:instrText>
      </w:r>
      <w:r>
        <w:fldChar w:fldCharType="separate"/>
      </w:r>
      <w:r>
        <w:rPr>
          <w:rFonts w:eastAsia="黑体"/>
        </w:rPr>
        <w:t>3. 各功能模块操作详情</w:t>
      </w:r>
      <w:r>
        <w:tab/>
      </w:r>
      <w:r>
        <w:fldChar w:fldCharType="begin"/>
      </w:r>
      <w:r>
        <w:instrText xml:space="preserve"> PAGEREF _Toc2063792121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0936DB92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_Toc2145794950 </w:instrText>
      </w:r>
      <w:r>
        <w:fldChar w:fldCharType="separate"/>
      </w:r>
      <w:r>
        <w:rPr>
          <w:rFonts w:eastAsia="黑体"/>
        </w:rPr>
        <w:t>3.</w:t>
      </w:r>
      <w:r>
        <w:rPr>
          <w:rFonts w:hint="eastAsia"/>
          <w:lang w:val="en-US" w:eastAsia="zh-CN"/>
        </w:rPr>
        <w:t>1</w:t>
      </w:r>
      <w:r>
        <w:rPr>
          <w:rFonts w:eastAsia="黑体"/>
        </w:rPr>
        <w:t xml:space="preserve"> 立项申报</w:t>
      </w:r>
      <w:r>
        <w:tab/>
      </w:r>
      <w:r>
        <w:fldChar w:fldCharType="begin"/>
      </w:r>
      <w:r>
        <w:instrText xml:space="preserve"> PAGEREF _Toc2145794950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54BBD748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_Toc1682840579 </w:instrText>
      </w:r>
      <w:r>
        <w:fldChar w:fldCharType="separate"/>
      </w:r>
      <w:r>
        <w:rPr>
          <w:rFonts w:eastAsia="黑体"/>
        </w:rPr>
        <w:t>3.</w:t>
      </w:r>
      <w:r>
        <w:rPr>
          <w:rFonts w:hint="eastAsia"/>
          <w:lang w:val="en-US" w:eastAsia="zh-CN"/>
        </w:rPr>
        <w:t>1</w:t>
      </w:r>
      <w:r>
        <w:rPr>
          <w:rFonts w:eastAsia="黑体"/>
        </w:rPr>
        <w:t>.1 功能介绍</w:t>
      </w:r>
      <w:r>
        <w:tab/>
      </w:r>
      <w:r>
        <w:fldChar w:fldCharType="begin"/>
      </w:r>
      <w:r>
        <w:instrText xml:space="preserve"> PAGEREF _Toc1682840579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36713162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_Toc1141980263 </w:instrText>
      </w:r>
      <w:r>
        <w:fldChar w:fldCharType="separate"/>
      </w:r>
      <w:r>
        <w:rPr>
          <w:rFonts w:eastAsia="黑体"/>
        </w:rPr>
        <w:t>3.</w:t>
      </w:r>
      <w:r>
        <w:rPr>
          <w:rFonts w:hint="eastAsia"/>
          <w:lang w:val="en-US" w:eastAsia="zh-CN"/>
        </w:rPr>
        <w:t>1</w:t>
      </w:r>
      <w:r>
        <w:rPr>
          <w:rFonts w:eastAsia="黑体"/>
        </w:rPr>
        <w:t>.2 操作步骤</w:t>
      </w:r>
      <w:r>
        <w:tab/>
      </w:r>
      <w:r>
        <w:fldChar w:fldCharType="begin"/>
      </w:r>
      <w:r>
        <w:instrText xml:space="preserve"> PAGEREF _Toc1141980263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60F9E946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_Toc1200927002 </w:instrText>
      </w:r>
      <w:r>
        <w:fldChar w:fldCharType="separate"/>
      </w:r>
      <w:r>
        <w:rPr>
          <w:rFonts w:eastAsia="黑体"/>
        </w:rPr>
        <w:t>3.2.3 通用操作</w:t>
      </w:r>
      <w:r>
        <w:tab/>
      </w:r>
      <w:r>
        <w:fldChar w:fldCharType="begin"/>
      </w:r>
      <w:r>
        <w:instrText xml:space="preserve"> PAGEREF _Toc1200927002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D3D731A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_Toc1928808108 </w:instrText>
      </w:r>
      <w:r>
        <w:fldChar w:fldCharType="separate"/>
      </w:r>
      <w:r>
        <w:rPr>
          <w:rFonts w:eastAsia="黑体"/>
        </w:rPr>
        <w:t>3.3 中期报告</w:t>
      </w:r>
      <w:r>
        <w:tab/>
      </w:r>
      <w:r>
        <w:fldChar w:fldCharType="begin"/>
      </w:r>
      <w:r>
        <w:instrText xml:space="preserve"> PAGEREF _Toc1928808108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17BC8894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_Toc1212219691 </w:instrText>
      </w:r>
      <w:r>
        <w:fldChar w:fldCharType="separate"/>
      </w:r>
      <w:r>
        <w:rPr>
          <w:rFonts w:eastAsia="黑体"/>
        </w:rPr>
        <w:t>3.3.1 功能介绍</w:t>
      </w:r>
      <w:r>
        <w:tab/>
      </w:r>
      <w:r>
        <w:fldChar w:fldCharType="begin"/>
      </w:r>
      <w:r>
        <w:instrText xml:space="preserve"> PAGEREF _Toc1212219691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D824FB4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_Toc598987548 </w:instrText>
      </w:r>
      <w:r>
        <w:fldChar w:fldCharType="separate"/>
      </w:r>
      <w:r>
        <w:rPr>
          <w:rFonts w:eastAsia="黑体"/>
        </w:rPr>
        <w:t>3.3.2 操作步骤</w:t>
      </w:r>
      <w:r>
        <w:tab/>
      </w:r>
      <w:r>
        <w:fldChar w:fldCharType="begin"/>
      </w:r>
      <w:r>
        <w:instrText xml:space="preserve"> PAGEREF _Toc598987548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6AAC20AE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_Toc1927865747 </w:instrText>
      </w:r>
      <w:r>
        <w:fldChar w:fldCharType="separate"/>
      </w:r>
      <w:r>
        <w:rPr>
          <w:rFonts w:eastAsia="黑体"/>
        </w:rPr>
        <w:t>3.3.3 通用操作</w:t>
      </w:r>
      <w:r>
        <w:tab/>
      </w:r>
      <w:r>
        <w:fldChar w:fldCharType="begin"/>
      </w:r>
      <w:r>
        <w:instrText xml:space="preserve"> PAGEREF _Toc1927865747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0DCA657C">
      <w:pPr>
        <w:pStyle w:val="9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_Toc406343893 </w:instrText>
      </w:r>
      <w:r>
        <w:fldChar w:fldCharType="separate"/>
      </w:r>
      <w:r>
        <w:rPr>
          <w:rFonts w:eastAsia="黑体"/>
        </w:rPr>
        <w:t>3.4 结项报告</w:t>
      </w:r>
      <w:r>
        <w:tab/>
      </w:r>
      <w:r>
        <w:fldChar w:fldCharType="begin"/>
      </w:r>
      <w:r>
        <w:instrText xml:space="preserve"> PAGEREF _Toc406343893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0D0E8627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_Toc423812191 </w:instrText>
      </w:r>
      <w:r>
        <w:fldChar w:fldCharType="separate"/>
      </w:r>
      <w:r>
        <w:rPr>
          <w:rFonts w:eastAsia="黑体"/>
        </w:rPr>
        <w:t>3.4.1 功能介绍</w:t>
      </w:r>
      <w:r>
        <w:tab/>
      </w:r>
      <w:r>
        <w:fldChar w:fldCharType="begin"/>
      </w:r>
      <w:r>
        <w:instrText xml:space="preserve"> PAGEREF _Toc423812191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0DDCB178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_Toc1955720685 </w:instrText>
      </w:r>
      <w:r>
        <w:fldChar w:fldCharType="separate"/>
      </w:r>
      <w:r>
        <w:rPr>
          <w:rFonts w:eastAsia="黑体"/>
        </w:rPr>
        <w:t>3.4.2 操作步骤</w:t>
      </w:r>
      <w:r>
        <w:tab/>
      </w:r>
      <w:r>
        <w:fldChar w:fldCharType="begin"/>
      </w:r>
      <w:r>
        <w:instrText xml:space="preserve"> PAGEREF _Toc1955720685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6A62D82A">
      <w:pPr>
        <w:pStyle w:val="5"/>
        <w:tabs>
          <w:tab w:val="right" w:leader="dot" w:pos="9026"/>
        </w:tabs>
      </w:pPr>
      <w:r>
        <w:fldChar w:fldCharType="begin"/>
      </w:r>
      <w:r>
        <w:instrText xml:space="preserve"> HYPERLINK \l _Toc412851813 </w:instrText>
      </w:r>
      <w:r>
        <w:fldChar w:fldCharType="separate"/>
      </w:r>
      <w:r>
        <w:rPr>
          <w:rFonts w:eastAsia="黑体"/>
        </w:rPr>
        <w:t>3.4.3 通用操作</w:t>
      </w:r>
      <w:r>
        <w:tab/>
      </w:r>
      <w:r>
        <w:fldChar w:fldCharType="begin"/>
      </w:r>
      <w:r>
        <w:instrText xml:space="preserve"> PAGEREF _Toc412851813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42B31C84">
      <w:pPr>
        <w:pStyle w:val="8"/>
        <w:tabs>
          <w:tab w:val="right" w:leader="dot" w:pos="9026"/>
          <w:tab w:val="clear" w:pos="8500"/>
        </w:tabs>
      </w:pPr>
      <w:r>
        <w:fldChar w:fldCharType="begin"/>
      </w:r>
      <w:r>
        <w:instrText xml:space="preserve"> HYPERLINK \l _Toc280757634 </w:instrText>
      </w:r>
      <w:r>
        <w:fldChar w:fldCharType="separate"/>
      </w:r>
      <w:r>
        <w:rPr>
          <w:rFonts w:eastAsia="黑体"/>
        </w:rPr>
        <w:t>4. 通用功能按钮详情说明</w:t>
      </w:r>
      <w:r>
        <w:tab/>
      </w:r>
      <w:r>
        <w:fldChar w:fldCharType="begin"/>
      </w:r>
      <w:r>
        <w:instrText xml:space="preserve"> PAGEREF _Toc280757634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 w14:paraId="6EBFE4A9">
      <w:pPr>
        <w:pStyle w:val="8"/>
        <w:tabs>
          <w:tab w:val="right" w:leader="dot" w:pos="9026"/>
          <w:tab w:val="clear" w:pos="8500"/>
        </w:tabs>
      </w:pPr>
      <w:r>
        <w:fldChar w:fldCharType="end"/>
      </w:r>
    </w:p>
    <w:p w14:paraId="29E3A10C">
      <w:pPr>
        <w:sectPr>
          <w:pgSz w:w="11906" w:h="16838"/>
          <w:pgMar w:top="1440" w:right="1440" w:bottom="1440" w:left="1440" w:header="708" w:footer="708" w:gutter="0"/>
          <w:cols w:space="720" w:num="1"/>
        </w:sectPr>
      </w:pPr>
    </w:p>
    <w:p w14:paraId="68D48CEE">
      <w:pPr>
        <w:pStyle w:val="2"/>
      </w:pPr>
      <w:bookmarkStart w:id="0" w:name="_Toc0000000100"/>
      <w:bookmarkStart w:id="1" w:name="_Toc1806203273"/>
      <w:r>
        <w:rPr>
          <w:rFonts w:eastAsia="黑体"/>
          <w:b/>
          <w:color w:val="1E3A5F"/>
          <w:sz w:val="36"/>
        </w:rPr>
        <w:t>1. 系统登录</w:t>
      </w:r>
      <w:bookmarkEnd w:id="0"/>
      <w:bookmarkEnd w:id="1"/>
    </w:p>
    <w:p w14:paraId="541A77AC">
      <w:pPr>
        <w:pStyle w:val="3"/>
      </w:pPr>
      <w:bookmarkStart w:id="2" w:name="_Toc0000000101"/>
      <w:bookmarkStart w:id="3" w:name="_Toc29575319"/>
      <w:r>
        <w:rPr>
          <w:rFonts w:eastAsia="黑体"/>
          <w:b/>
          <w:color w:val="1E3A5F"/>
          <w:sz w:val="30"/>
        </w:rPr>
        <w:t>1.1 访问地址</w:t>
      </w:r>
      <w:bookmarkEnd w:id="2"/>
      <w:bookmarkEnd w:id="3"/>
    </w:p>
    <w:p w14:paraId="6215A091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打开指定浏览器，输入北京大学医学部统一身份认证地址：auth.bjmu.edu.cn。建议使用PC端进行访问，PC适配浏览器：谷歌浏览器或360浏览器（极速模式）。</w:t>
      </w:r>
    </w:p>
    <w:p w14:paraId="0903874A">
      <w:pPr>
        <w:pStyle w:val="3"/>
      </w:pPr>
      <w:bookmarkStart w:id="4" w:name="_Toc0000000103"/>
      <w:bookmarkStart w:id="5" w:name="_Toc1003663976"/>
      <w:r>
        <w:rPr>
          <w:rFonts w:eastAsia="黑体"/>
          <w:b/>
          <w:color w:val="1E3A5F"/>
          <w:sz w:val="30"/>
        </w:rPr>
        <w:t>1.2 登录操作</w:t>
      </w:r>
      <w:bookmarkEnd w:id="4"/>
      <w:bookmarkEnd w:id="5"/>
    </w:p>
    <w:p w14:paraId="75AF20D5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在统一身份认证页面，选择账号登录/验证码登录，输入学号及对应密码（验证码），可勾选"7天免登录"，点击"登录"按钮完成系统验证。</w:t>
      </w:r>
    </w:p>
    <w:p w14:paraId="529D2D85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drawing>
          <wp:inline distT="0" distB="0" distL="114300" distR="114300">
            <wp:extent cx="5257800" cy="2850515"/>
            <wp:effectExtent l="0" t="0" r="0" b="196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82662">
      <w:pPr>
        <w:pStyle w:val="3"/>
      </w:pPr>
      <w:bookmarkStart w:id="6" w:name="_Toc0000000105"/>
      <w:bookmarkStart w:id="7" w:name="_Toc96397447"/>
      <w:r>
        <w:rPr>
          <w:rFonts w:eastAsia="黑体"/>
          <w:b/>
          <w:color w:val="1E3A5F"/>
          <w:sz w:val="30"/>
        </w:rPr>
        <w:t>1.3 进入应用</w:t>
      </w:r>
      <w:bookmarkEnd w:id="6"/>
      <w:bookmarkEnd w:id="7"/>
    </w:p>
    <w:p w14:paraId="1A65A381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登录后进入系统首页，在"服务大厅"搜索框中输入"优星计划管理"，点击对应服务条目进入学生操作界面。学生账号仅可查看系统已启用的申报批次，并在开放批次中提交立项、中期、结项材料。</w:t>
      </w:r>
    </w:p>
    <w:p w14:paraId="5FC3F868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drawing>
          <wp:inline distT="0" distB="0" distL="114300" distR="114300">
            <wp:extent cx="5728970" cy="3248660"/>
            <wp:effectExtent l="0" t="0" r="1143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84F30">
      <w:pPr>
        <w:pStyle w:val="2"/>
      </w:pPr>
      <w:bookmarkStart w:id="8" w:name="_Toc0000000107"/>
      <w:bookmarkStart w:id="9" w:name="_Toc949221891"/>
      <w:r>
        <w:rPr>
          <w:rFonts w:eastAsia="黑体"/>
          <w:b/>
          <w:color w:val="1E3A5F"/>
          <w:sz w:val="36"/>
        </w:rPr>
        <w:t>2. 核心操作总流程</w:t>
      </w:r>
      <w:bookmarkEnd w:id="8"/>
      <w:bookmarkEnd w:id="9"/>
    </w:p>
    <w:p w14:paraId="71B27E61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学生端整体操作遵循"查看启用批次→在批次开放时间内提交申报材料→查看审核状态→统计页面查询项目进度"的标准化流程。学生只能在系统已启用且当前开放的批次阶段提交申报，无审核权限。</w:t>
      </w:r>
    </w:p>
    <w:p w14:paraId="6149EF60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具体流程链路为：进入功能模块→查看已启用的申报批次（含立项/中期/结项时间窗口）→在开放阶段点击申报填写材料→提交立项/中期/结项申请→</w:t>
      </w:r>
      <w:r>
        <w:rPr>
          <w:rFonts w:hint="eastAsia" w:ascii="宋体" w:hAnsi="宋体"/>
          <w:sz w:val="22"/>
          <w:lang w:val="en-US" w:eastAsia="zh-CN"/>
        </w:rPr>
        <w:t>可在已审核</w:t>
      </w:r>
      <w:r>
        <w:rPr>
          <w:rFonts w:ascii="宋体" w:hAnsi="宋体" w:eastAsia="宋体"/>
          <w:sz w:val="22"/>
        </w:rPr>
        <w:t>页面查看本人项目状态与详情。</w:t>
      </w:r>
    </w:p>
    <w:p w14:paraId="5BDE993E">
      <w:pPr>
        <w:pStyle w:val="2"/>
      </w:pPr>
      <w:bookmarkStart w:id="10" w:name="_Toc0000000110"/>
      <w:bookmarkStart w:id="11" w:name="_Toc2063792121"/>
      <w:r>
        <w:rPr>
          <w:rFonts w:eastAsia="黑体"/>
          <w:b/>
          <w:color w:val="1E3A5F"/>
          <w:sz w:val="36"/>
        </w:rPr>
        <w:t>3. 各功能模块操作详情</w:t>
      </w:r>
      <w:bookmarkEnd w:id="10"/>
      <w:bookmarkEnd w:id="11"/>
    </w:p>
    <w:p w14:paraId="2EE3F638">
      <w:pPr>
        <w:pStyle w:val="3"/>
      </w:pPr>
      <w:bookmarkStart w:id="12" w:name="_Toc0000000121"/>
      <w:bookmarkStart w:id="13" w:name="_Toc2145794950"/>
      <w:r>
        <w:rPr>
          <w:rFonts w:eastAsia="黑体"/>
          <w:b/>
          <w:color w:val="1E3A5F"/>
          <w:sz w:val="30"/>
        </w:rPr>
        <w:t>3.</w:t>
      </w:r>
      <w:r>
        <w:rPr>
          <w:rFonts w:hint="eastAsia"/>
          <w:b/>
          <w:color w:val="1E3A5F"/>
          <w:sz w:val="30"/>
          <w:lang w:val="en-US" w:eastAsia="zh-CN"/>
        </w:rPr>
        <w:t>1</w:t>
      </w:r>
      <w:r>
        <w:rPr>
          <w:rFonts w:eastAsia="黑体"/>
          <w:b/>
          <w:color w:val="1E3A5F"/>
          <w:sz w:val="30"/>
        </w:rPr>
        <w:t xml:space="preserve"> 立项申报</w:t>
      </w:r>
      <w:bookmarkEnd w:id="12"/>
      <w:bookmarkEnd w:id="13"/>
    </w:p>
    <w:p w14:paraId="4A8EA35E">
      <w:pPr>
        <w:pStyle w:val="4"/>
      </w:pPr>
      <w:bookmarkStart w:id="14" w:name="_Toc0000000122"/>
      <w:bookmarkStart w:id="15" w:name="_Toc1682840579"/>
      <w:r>
        <w:rPr>
          <w:rFonts w:eastAsia="黑体"/>
          <w:b/>
          <w:color w:val="2C5282"/>
          <w:sz w:val="26"/>
        </w:rPr>
        <w:t>3.</w:t>
      </w:r>
      <w:r>
        <w:rPr>
          <w:rFonts w:hint="eastAsia"/>
          <w:b/>
          <w:color w:val="2C5282"/>
          <w:sz w:val="26"/>
          <w:lang w:val="en-US" w:eastAsia="zh-CN"/>
        </w:rPr>
        <w:t>1</w:t>
      </w:r>
      <w:r>
        <w:rPr>
          <w:rFonts w:eastAsia="黑体"/>
          <w:b/>
          <w:color w:val="2C5282"/>
          <w:sz w:val="26"/>
        </w:rPr>
        <w:t>.1 功能介绍</w:t>
      </w:r>
      <w:bookmarkEnd w:id="14"/>
      <w:bookmarkEnd w:id="15"/>
    </w:p>
    <w:p w14:paraId="0DED77C4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本模块为学生提交"优星计划"立项申报的入口，仅当批次处于立项申请时间窗口内且本人符合申报范围时才可提交。学生可在此填写项目基础信息、上传立项申报材料、提交后跟踪审核状态与审核意见。</w:t>
      </w:r>
    </w:p>
    <w:p w14:paraId="0D1F91C5">
      <w:pPr>
        <w:pStyle w:val="4"/>
      </w:pPr>
      <w:bookmarkStart w:id="16" w:name="_Toc0000000124"/>
      <w:bookmarkStart w:id="17" w:name="_Toc1141980263"/>
      <w:r>
        <w:rPr>
          <w:rFonts w:eastAsia="黑体"/>
          <w:b/>
          <w:color w:val="2C5282"/>
          <w:sz w:val="26"/>
        </w:rPr>
        <w:t>3.</w:t>
      </w:r>
      <w:r>
        <w:rPr>
          <w:rFonts w:hint="eastAsia"/>
          <w:b/>
          <w:color w:val="2C5282"/>
          <w:sz w:val="26"/>
          <w:lang w:val="en-US" w:eastAsia="zh-CN"/>
        </w:rPr>
        <w:t>1</w:t>
      </w:r>
      <w:r>
        <w:rPr>
          <w:rFonts w:eastAsia="黑体"/>
          <w:b/>
          <w:color w:val="2C5282"/>
          <w:sz w:val="26"/>
        </w:rPr>
        <w:t>.2 操作步骤</w:t>
      </w:r>
      <w:bookmarkEnd w:id="16"/>
      <w:bookmarkEnd w:id="17"/>
    </w:p>
    <w:p w14:paraId="0E444BFB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1.进入模块：点击顶部导航栏中的"立项申报"按钮，进入立项申请列表页面。</w:t>
      </w:r>
    </w:p>
    <w:p w14:paraId="65A6CBA3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2.提交立项申报：点击页面上方"新增/申报"按钮，在弹出弹窗中按要求填写项目名称、项目级别、申请理由、预期成果等信息；带红色*标识的为必填项。</w:t>
      </w:r>
    </w:p>
    <w:p w14:paraId="6BC9BE20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3.上传申报材料：点击"上传"按钮上传</w:t>
      </w:r>
      <w:r>
        <w:rPr>
          <w:rFonts w:hint="eastAsia" w:ascii="宋体" w:hAnsi="宋体"/>
          <w:sz w:val="22"/>
          <w:lang w:eastAsia="zh-CN"/>
        </w:rPr>
        <w:t>，</w:t>
      </w:r>
      <w:r>
        <w:rPr>
          <w:rFonts w:hint="eastAsia" w:ascii="宋体" w:hAnsi="宋体"/>
          <w:sz w:val="22"/>
          <w:lang w:val="en-US" w:eastAsia="zh-CN"/>
        </w:rPr>
        <w:t>可先下载</w:t>
      </w:r>
      <w:r>
        <w:rPr>
          <w:rFonts w:ascii="宋体" w:hAnsi="宋体" w:eastAsia="宋体"/>
          <w:sz w:val="22"/>
        </w:rPr>
        <w:t>模板</w:t>
      </w:r>
      <w:r>
        <w:rPr>
          <w:rFonts w:hint="eastAsia" w:ascii="宋体" w:hAnsi="宋体"/>
          <w:sz w:val="22"/>
          <w:lang w:eastAsia="zh-CN"/>
        </w:rPr>
        <w:t>，</w:t>
      </w:r>
      <w:r>
        <w:rPr>
          <w:rFonts w:hint="eastAsia" w:ascii="宋体" w:hAnsi="宋体"/>
          <w:sz w:val="22"/>
          <w:lang w:val="en-US" w:eastAsia="zh-CN"/>
        </w:rPr>
        <w:t>再上传</w:t>
      </w:r>
      <w:r>
        <w:rPr>
          <w:rFonts w:ascii="宋体" w:hAnsi="宋体" w:eastAsia="宋体"/>
          <w:sz w:val="22"/>
        </w:rPr>
        <w:t>立项申报书（仅支持pdf、doc、docx、rar、zip类型）。</w:t>
      </w:r>
    </w:p>
    <w:p w14:paraId="60CCE011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4.保存/提交：填写完成后可点击"保存草稿"暂存信息，或点击"提交"将申请推送至审核流程，状态更新为"待审核"。</w:t>
      </w:r>
    </w:p>
    <w:p w14:paraId="33BB0A3C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5.查看详情：在申请列表中点击"详情"进入申请详情页面，查看项目信息、申报材料、当前审核状态、审核意见、专家意见等全量内容。</w:t>
      </w:r>
    </w:p>
    <w:p w14:paraId="1A5AA485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6.修改并重新提交：若申请被退回，详情页将展示退回原因，点击"修改"按钮补充信息后再次提交。</w:t>
      </w:r>
    </w:p>
    <w:p w14:paraId="12CAA3B0">
      <w:pPr>
        <w:spacing w:line="360" w:lineRule="auto"/>
        <w:ind w:left="420" w:hanging="420"/>
      </w:pPr>
      <w:r>
        <w:rPr>
          <w:rFonts w:hint="eastAsia" w:ascii="宋体" w:hAnsi="宋体"/>
          <w:sz w:val="22"/>
          <w:lang w:val="en-US" w:eastAsia="zh-CN"/>
        </w:rPr>
        <w:t xml:space="preserve"> </w:t>
      </w:r>
      <w:r>
        <w:drawing>
          <wp:inline distT="0" distB="0" distL="114300" distR="114300">
            <wp:extent cx="5716905" cy="3204210"/>
            <wp:effectExtent l="0" t="0" r="23495" b="215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6905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27065" cy="3202305"/>
            <wp:effectExtent l="0" t="0" r="13335" b="234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065" cy="320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2DA6F">
      <w:pPr>
        <w:spacing w:line="360" w:lineRule="auto"/>
        <w:ind w:left="420" w:hanging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03EAAB6F">
      <w:pPr>
        <w:spacing w:line="360" w:lineRule="auto"/>
        <w:ind w:left="420" w:hanging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1、下一步审核节点没审核，可撤回重新填写。</w:t>
      </w:r>
    </w:p>
    <w:p w14:paraId="53E1E342">
      <w:pPr>
        <w:spacing w:line="360" w:lineRule="auto"/>
        <w:ind w:left="420" w:hanging="42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728970" cy="3241040"/>
            <wp:effectExtent l="0" t="0" r="1143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8970" cy="32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A2406">
      <w:pPr>
        <w:pStyle w:val="4"/>
      </w:pPr>
      <w:bookmarkStart w:id="18" w:name="_Toc0000000131"/>
      <w:bookmarkStart w:id="19" w:name="_Toc1200927002"/>
      <w:r>
        <w:rPr>
          <w:rFonts w:eastAsia="黑体"/>
          <w:b/>
          <w:color w:val="2C5282"/>
          <w:sz w:val="26"/>
        </w:rPr>
        <w:t>3.2.3 通用操作</w:t>
      </w:r>
      <w:bookmarkEnd w:id="18"/>
      <w:bookmarkEnd w:id="19"/>
    </w:p>
    <w:p w14:paraId="1DDBF4B9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立项申报列表支持按"草稿/待审核/已审核/已退回"状态筛选；导出按钮可将本人立项数据导出为Excel留存。</w:t>
      </w:r>
    </w:p>
    <w:p w14:paraId="754E3447">
      <w:pPr>
        <w:pStyle w:val="3"/>
      </w:pPr>
      <w:bookmarkStart w:id="20" w:name="_Toc0000000133"/>
      <w:bookmarkStart w:id="21" w:name="_Toc1928808108"/>
      <w:r>
        <w:rPr>
          <w:rFonts w:eastAsia="黑体"/>
          <w:b/>
          <w:color w:val="1E3A5F"/>
          <w:sz w:val="30"/>
        </w:rPr>
        <w:t>3.3 中期报告</w:t>
      </w:r>
      <w:bookmarkEnd w:id="20"/>
      <w:bookmarkEnd w:id="21"/>
    </w:p>
    <w:p w14:paraId="190477BB">
      <w:pPr>
        <w:pStyle w:val="4"/>
      </w:pPr>
      <w:bookmarkStart w:id="22" w:name="_Toc0000000134"/>
      <w:bookmarkStart w:id="23" w:name="_Toc1212219691"/>
      <w:r>
        <w:rPr>
          <w:rFonts w:eastAsia="黑体"/>
          <w:b/>
          <w:color w:val="2C5282"/>
          <w:sz w:val="26"/>
        </w:rPr>
        <w:t>3.3.1 功能介绍</w:t>
      </w:r>
      <w:bookmarkEnd w:id="22"/>
      <w:bookmarkEnd w:id="23"/>
    </w:p>
    <w:p w14:paraId="7C083275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本模块为学生提交"优星计划"中期报告的入口，仅当批次处于中期申请时间窗口内且本人立项已通过时才可提交。学生在此填写项目中期进展、阶段性成果、存在问题及下一步计划，并上传中期报告材料。</w:t>
      </w:r>
    </w:p>
    <w:p w14:paraId="5D72C462">
      <w:pPr>
        <w:pStyle w:val="4"/>
      </w:pPr>
      <w:bookmarkStart w:id="24" w:name="_Toc0000000136"/>
      <w:bookmarkStart w:id="25" w:name="_Toc598987548"/>
      <w:r>
        <w:rPr>
          <w:rFonts w:eastAsia="黑体"/>
          <w:b/>
          <w:color w:val="2C5282"/>
          <w:sz w:val="26"/>
        </w:rPr>
        <w:t>3.3.2 操作步骤</w:t>
      </w:r>
      <w:bookmarkEnd w:id="24"/>
      <w:bookmarkEnd w:id="25"/>
    </w:p>
    <w:p w14:paraId="5A506DCC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1.进入模块：点击顶部导航栏中的"中期报告"按钮，进入中期报告列表页面。</w:t>
      </w:r>
    </w:p>
    <w:p w14:paraId="5BC41DD0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2.</w:t>
      </w:r>
      <w:r>
        <w:rPr>
          <w:rFonts w:hint="eastAsia" w:ascii="宋体" w:hAnsi="宋体"/>
          <w:sz w:val="22"/>
          <w:lang w:val="en-US" w:eastAsia="zh-CN"/>
        </w:rPr>
        <w:t>中期申请</w:t>
      </w:r>
      <w:r>
        <w:rPr>
          <w:rFonts w:ascii="宋体" w:hAnsi="宋体" w:eastAsia="宋体"/>
          <w:sz w:val="22"/>
        </w:rPr>
        <w:t>：点击"</w:t>
      </w:r>
      <w:r>
        <w:rPr>
          <w:rFonts w:hint="eastAsia" w:ascii="宋体" w:hAnsi="宋体"/>
          <w:sz w:val="22"/>
          <w:lang w:val="en-US" w:eastAsia="zh-CN"/>
        </w:rPr>
        <w:t>中期申请</w:t>
      </w:r>
      <w:r>
        <w:rPr>
          <w:rFonts w:ascii="宋体" w:hAnsi="宋体" w:eastAsia="宋体"/>
          <w:sz w:val="22"/>
        </w:rPr>
        <w:t>"按钮，弹出填写弹窗，填写</w:t>
      </w:r>
      <w:r>
        <w:rPr>
          <w:rFonts w:hint="eastAsia" w:ascii="宋体" w:hAnsi="宋体" w:eastAsia="宋体"/>
          <w:sz w:val="22"/>
        </w:rPr>
        <w:t>已使用经费（元）</w:t>
      </w:r>
      <w:r>
        <w:rPr>
          <w:rFonts w:hint="eastAsia" w:ascii="宋体" w:hAnsi="宋体"/>
          <w:sz w:val="22"/>
          <w:lang w:eastAsia="zh-CN"/>
        </w:rPr>
        <w:t>【</w:t>
      </w:r>
      <w:r>
        <w:rPr>
          <w:rFonts w:hint="eastAsia" w:ascii="宋体" w:hAnsi="宋体"/>
          <w:sz w:val="22"/>
          <w:lang w:val="en-US" w:eastAsia="zh-CN"/>
        </w:rPr>
        <w:t>填写数字不能超过总经费】</w:t>
      </w:r>
      <w:r>
        <w:rPr>
          <w:rFonts w:ascii="宋体" w:hAnsi="宋体" w:eastAsia="宋体"/>
          <w:sz w:val="22"/>
        </w:rPr>
        <w:t>、</w:t>
      </w:r>
      <w:r>
        <w:rPr>
          <w:rFonts w:hint="eastAsia" w:ascii="宋体" w:hAnsi="宋体" w:eastAsia="宋体"/>
          <w:sz w:val="22"/>
        </w:rPr>
        <w:t>成绩及获得奖励情</w:t>
      </w:r>
      <w:r>
        <w:rPr>
          <w:rFonts w:ascii="宋体" w:hAnsi="宋体" w:eastAsia="宋体"/>
          <w:sz w:val="22"/>
        </w:rPr>
        <w:t>、</w:t>
      </w:r>
      <w:r>
        <w:rPr>
          <w:rFonts w:hint="eastAsia" w:ascii="宋体" w:hAnsi="宋体" w:eastAsia="宋体"/>
          <w:sz w:val="22"/>
        </w:rPr>
        <w:t>关键词（≤5个）</w:t>
      </w:r>
      <w:r>
        <w:rPr>
          <w:rFonts w:ascii="宋体" w:hAnsi="宋体" w:eastAsia="宋体"/>
          <w:sz w:val="22"/>
        </w:rPr>
        <w:t>等必填信息（红色*标识为必填项）。</w:t>
      </w:r>
    </w:p>
    <w:p w14:paraId="7A392089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3.上传中期报告：点击"上传"按钮上传中期报告材料（支持pdf、doc、docx、rar、zip</w:t>
      </w:r>
      <w:r>
        <w:rPr>
          <w:rFonts w:hint="eastAsia" w:ascii="宋体" w:hAnsi="宋体"/>
          <w:sz w:val="22"/>
          <w:lang w:val="en-US" w:eastAsia="zh-CN"/>
        </w:rPr>
        <w:t>等</w:t>
      </w:r>
      <w:r>
        <w:rPr>
          <w:rFonts w:ascii="宋体" w:hAnsi="宋体" w:eastAsia="宋体"/>
          <w:sz w:val="22"/>
        </w:rPr>
        <w:t>类型）。</w:t>
      </w:r>
    </w:p>
    <w:p w14:paraId="3F206DEB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4.保存/提交：填写完成后可保存草稿或点击"提交"，中期报告进入审核流程，状态更新为"待审核"。</w:t>
      </w:r>
    </w:p>
    <w:p w14:paraId="5E455EEF">
      <w:pPr>
        <w:spacing w:line="360" w:lineRule="auto"/>
        <w:ind w:left="420" w:hanging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5.查看与修改：在列表点击"详情"查看当前审核状态与意见；被退回的报告可在详情页点击"修改"补充信息后重新提交。</w:t>
      </w:r>
    </w:p>
    <w:p w14:paraId="317F218D">
      <w:pPr>
        <w:spacing w:line="360" w:lineRule="auto"/>
        <w:ind w:left="420" w:hanging="420"/>
        <w:rPr>
          <w:rFonts w:hint="eastAsia" w:ascii="宋体" w:hAnsi="宋体" w:eastAsia="宋体"/>
          <w:sz w:val="22"/>
          <w:lang w:val="en-US" w:eastAsia="zh-CN"/>
        </w:rPr>
      </w:pPr>
      <w:r>
        <w:rPr>
          <w:rFonts w:hint="eastAsia" w:ascii="宋体" w:hAnsi="宋体"/>
          <w:sz w:val="22"/>
          <w:lang w:val="en-US" w:eastAsia="zh-CN"/>
        </w:rPr>
        <w:t xml:space="preserve"> </w:t>
      </w:r>
      <w:r>
        <w:drawing>
          <wp:inline distT="0" distB="0" distL="114300" distR="114300">
            <wp:extent cx="5722620" cy="3226435"/>
            <wp:effectExtent l="0" t="0" r="17780" b="2476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E7CC5">
      <w:pPr>
        <w:pStyle w:val="4"/>
      </w:pPr>
      <w:bookmarkStart w:id="26" w:name="_Toc0000000142"/>
      <w:bookmarkStart w:id="27" w:name="_Toc1927865747"/>
      <w:r>
        <w:rPr>
          <w:rFonts w:eastAsia="黑体"/>
          <w:b/>
          <w:color w:val="2C5282"/>
          <w:sz w:val="26"/>
        </w:rPr>
        <w:t>3.3.3 通用操作</w:t>
      </w:r>
      <w:bookmarkEnd w:id="26"/>
      <w:bookmarkEnd w:id="27"/>
    </w:p>
    <w:p w14:paraId="01FC69B7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中期报告列表支持按状态筛选与导出；只有立项已通过的项目才可提交中期报告。</w:t>
      </w:r>
    </w:p>
    <w:p w14:paraId="4CB96CCA">
      <w:pPr>
        <w:pStyle w:val="3"/>
      </w:pPr>
      <w:bookmarkStart w:id="28" w:name="_Toc0000000144"/>
      <w:bookmarkStart w:id="29" w:name="_Toc406343893"/>
      <w:r>
        <w:rPr>
          <w:rFonts w:eastAsia="黑体"/>
          <w:b/>
          <w:color w:val="1E3A5F"/>
          <w:sz w:val="30"/>
        </w:rPr>
        <w:t>3.4 结项报告</w:t>
      </w:r>
      <w:bookmarkEnd w:id="28"/>
      <w:bookmarkEnd w:id="29"/>
    </w:p>
    <w:p w14:paraId="7F99817E">
      <w:pPr>
        <w:pStyle w:val="4"/>
      </w:pPr>
      <w:bookmarkStart w:id="30" w:name="_Toc0000000145"/>
      <w:bookmarkStart w:id="31" w:name="_Toc423812191"/>
      <w:r>
        <w:rPr>
          <w:rFonts w:eastAsia="黑体"/>
          <w:b/>
          <w:color w:val="2C5282"/>
          <w:sz w:val="26"/>
        </w:rPr>
        <w:t>3.4.1 功能介绍</w:t>
      </w:r>
      <w:bookmarkEnd w:id="30"/>
      <w:bookmarkEnd w:id="31"/>
    </w:p>
    <w:p w14:paraId="3A5BD97B">
      <w:pPr>
        <w:spacing w:line="360" w:lineRule="auto"/>
        <w:ind w:firstLine="420"/>
        <w:rPr>
          <w:rFonts w:ascii="宋体" w:hAnsi="宋体" w:eastAsia="宋体"/>
          <w:sz w:val="22"/>
        </w:rPr>
      </w:pPr>
      <w:r>
        <w:rPr>
          <w:rFonts w:ascii="宋体" w:hAnsi="宋体" w:eastAsia="宋体"/>
          <w:sz w:val="22"/>
        </w:rPr>
        <w:t>本模块为学生提交"优星计划"结项报告的入口，仅当批次处于结项申请时间窗口内且本人提交</w:t>
      </w:r>
      <w:r>
        <w:rPr>
          <w:rFonts w:hint="eastAsia" w:ascii="宋体" w:hAnsi="宋体"/>
          <w:sz w:val="22"/>
          <w:lang w:val="en-US" w:eastAsia="zh-CN"/>
        </w:rPr>
        <w:t>申请</w:t>
      </w:r>
      <w:r>
        <w:rPr>
          <w:rFonts w:ascii="宋体" w:hAnsi="宋体" w:eastAsia="宋体"/>
          <w:sz w:val="22"/>
        </w:rPr>
        <w:t>。学生在此填写项目</w:t>
      </w:r>
      <w:r>
        <w:rPr>
          <w:rFonts w:hint="eastAsia" w:ascii="宋体" w:hAnsi="宋体" w:eastAsia="宋体"/>
          <w:sz w:val="22"/>
        </w:rPr>
        <w:t>已使用经费（元）</w:t>
      </w:r>
      <w:r>
        <w:rPr>
          <w:rFonts w:hint="eastAsia" w:ascii="宋体" w:hAnsi="宋体"/>
          <w:sz w:val="22"/>
          <w:lang w:eastAsia="zh-CN"/>
        </w:rPr>
        <w:t>【填写数字不能超过总经费】</w:t>
      </w:r>
      <w:r>
        <w:rPr>
          <w:rFonts w:ascii="宋体" w:hAnsi="宋体" w:eastAsia="宋体"/>
          <w:sz w:val="22"/>
        </w:rPr>
        <w:t>、</w:t>
      </w:r>
      <w:r>
        <w:rPr>
          <w:rFonts w:hint="eastAsia" w:ascii="宋体" w:hAnsi="宋体" w:eastAsia="宋体"/>
          <w:sz w:val="22"/>
        </w:rPr>
        <w:t>成绩及获得奖励情况</w:t>
      </w:r>
      <w:r>
        <w:rPr>
          <w:rFonts w:ascii="宋体" w:hAnsi="宋体" w:eastAsia="宋体"/>
          <w:sz w:val="22"/>
        </w:rPr>
        <w:t>、经费使用情况等，并上传</w:t>
      </w:r>
      <w:r>
        <w:rPr>
          <w:rFonts w:hint="eastAsia" w:ascii="宋体" w:hAnsi="宋体" w:eastAsia="宋体"/>
          <w:sz w:val="22"/>
        </w:rPr>
        <w:t>结题报告书</w:t>
      </w:r>
      <w:r>
        <w:rPr>
          <w:rFonts w:hint="eastAsia" w:ascii="宋体" w:hAnsi="宋体"/>
          <w:sz w:val="22"/>
          <w:lang w:val="en-US" w:eastAsia="zh-CN"/>
        </w:rPr>
        <w:t>和科研成果</w:t>
      </w:r>
      <w:r>
        <w:rPr>
          <w:rFonts w:ascii="宋体" w:hAnsi="宋体" w:eastAsia="宋体"/>
          <w:sz w:val="22"/>
        </w:rPr>
        <w:t>材料。</w:t>
      </w:r>
    </w:p>
    <w:p w14:paraId="215C0134">
      <w:p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</w:p>
    <w:p w14:paraId="787C2CA5">
      <w:p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</w:p>
    <w:p w14:paraId="014DB2AE">
      <w:pPr>
        <w:pStyle w:val="4"/>
        <w:rPr>
          <w:rFonts w:hint="default" w:eastAsia="黑体"/>
          <w:lang w:val="en-US" w:eastAsia="zh-CN"/>
        </w:rPr>
      </w:pPr>
      <w:bookmarkStart w:id="32" w:name="_Toc0000000147"/>
      <w:bookmarkStart w:id="33" w:name="_Toc1955720685"/>
      <w:r>
        <w:rPr>
          <w:rFonts w:eastAsia="黑体"/>
          <w:b/>
          <w:color w:val="2C5282"/>
          <w:sz w:val="26"/>
        </w:rPr>
        <w:t>3.4.2 操作步骤</w:t>
      </w:r>
      <w:bookmarkEnd w:id="32"/>
      <w:bookmarkEnd w:id="33"/>
      <w:r>
        <w:rPr>
          <w:rFonts w:hint="eastAsia"/>
          <w:b/>
          <w:color w:val="2C5282"/>
          <w:sz w:val="26"/>
          <w:lang w:val="en-US" w:eastAsia="zh-CN"/>
        </w:rPr>
        <w:t xml:space="preserve">   </w:t>
      </w:r>
    </w:p>
    <w:p w14:paraId="159B1476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1.进入模块：点击顶部导航栏中的"结项报告"按钮，进入结项报告列表页面。</w:t>
      </w:r>
    </w:p>
    <w:p w14:paraId="2097ED03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2.</w:t>
      </w:r>
      <w:r>
        <w:rPr>
          <w:rFonts w:hint="eastAsia" w:ascii="宋体" w:hAnsi="宋体"/>
          <w:sz w:val="22"/>
          <w:lang w:val="en-US" w:eastAsia="zh-CN"/>
        </w:rPr>
        <w:t>结项申请</w:t>
      </w:r>
      <w:r>
        <w:rPr>
          <w:rFonts w:ascii="宋体" w:hAnsi="宋体" w:eastAsia="宋体"/>
          <w:sz w:val="22"/>
        </w:rPr>
        <w:t>：点击"</w:t>
      </w:r>
      <w:r>
        <w:rPr>
          <w:rFonts w:hint="eastAsia" w:ascii="宋体" w:hAnsi="宋体"/>
          <w:sz w:val="22"/>
          <w:lang w:val="en-US" w:eastAsia="zh-CN"/>
        </w:rPr>
        <w:t>结项申请</w:t>
      </w:r>
      <w:r>
        <w:rPr>
          <w:rFonts w:ascii="宋体" w:hAnsi="宋体" w:eastAsia="宋体"/>
          <w:sz w:val="22"/>
        </w:rPr>
        <w:t>"按钮，填写项目最终成果、研究总结、经费使用情况、附件清单等必填信息（红色*标识为必填项）。</w:t>
      </w:r>
    </w:p>
    <w:p w14:paraId="076303A5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3.上传结项报告</w:t>
      </w:r>
      <w:r>
        <w:rPr>
          <w:rFonts w:hint="eastAsia" w:ascii="宋体" w:hAnsi="宋体"/>
          <w:sz w:val="22"/>
          <w:lang w:val="en-US" w:eastAsia="zh-CN"/>
        </w:rPr>
        <w:t>/科研成果</w:t>
      </w:r>
      <w:r>
        <w:rPr>
          <w:rFonts w:ascii="宋体" w:hAnsi="宋体" w:eastAsia="宋体"/>
          <w:sz w:val="22"/>
        </w:rPr>
        <w:t>：点击"上传"按钮上传结项报告材料（仅支持pdf、doc、docx、rar、zip类型）。</w:t>
      </w:r>
    </w:p>
    <w:p w14:paraId="2305A40F">
      <w:pPr>
        <w:spacing w:line="360" w:lineRule="auto"/>
        <w:ind w:left="420" w:hanging="420"/>
      </w:pPr>
      <w:r>
        <w:rPr>
          <w:rFonts w:ascii="宋体" w:hAnsi="宋体" w:eastAsia="宋体"/>
          <w:sz w:val="22"/>
        </w:rPr>
        <w:t>4.保存/提交：填写完成后可保存草稿或点击"提交"，结项报告进入审核流程，状态更新为"待审核"。</w:t>
      </w:r>
    </w:p>
    <w:p w14:paraId="4D5CB6E0">
      <w:pPr>
        <w:spacing w:line="360" w:lineRule="auto"/>
        <w:ind w:left="420" w:hanging="420"/>
        <w:rPr>
          <w:rFonts w:hint="eastAsia" w:ascii="宋体" w:hAnsi="宋体" w:eastAsia="宋体"/>
          <w:sz w:val="22"/>
          <w:lang w:val="en-US" w:eastAsia="zh-CN"/>
        </w:rPr>
      </w:pPr>
      <w:r>
        <w:rPr>
          <w:rFonts w:ascii="宋体" w:hAnsi="宋体" w:eastAsia="宋体"/>
          <w:sz w:val="22"/>
        </w:rPr>
        <w:t>5.查看与修改：在列表点击"详情"查看当前审核状态与意见；被退回的报告可在详情页点击"</w:t>
      </w:r>
      <w:r>
        <w:rPr>
          <w:rFonts w:hint="eastAsia" w:ascii="宋体" w:hAnsi="宋体"/>
          <w:sz w:val="22"/>
          <w:lang w:val="en-US" w:eastAsia="zh-CN"/>
        </w:rPr>
        <w:t>编辑</w:t>
      </w:r>
      <w:r>
        <w:rPr>
          <w:rFonts w:ascii="宋体" w:hAnsi="宋体" w:eastAsia="宋体"/>
          <w:sz w:val="22"/>
        </w:rPr>
        <w:t>"补充信息后重新提交。</w:t>
      </w:r>
      <w:r>
        <w:rPr>
          <w:rFonts w:hint="eastAsia" w:ascii="宋体" w:hAnsi="宋体"/>
          <w:sz w:val="22"/>
          <w:lang w:val="en-US" w:eastAsia="zh-CN"/>
        </w:rPr>
        <w:t xml:space="preserve"> </w:t>
      </w:r>
    </w:p>
    <w:p w14:paraId="3ACB611E">
      <w:pPr>
        <w:spacing w:line="360" w:lineRule="auto"/>
        <w:ind w:left="0" w:leftChars="0" w:firstLine="0" w:firstLineChars="0"/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5177790" cy="2899410"/>
            <wp:effectExtent l="0" t="0" r="3810" b="2159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77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CDAE0">
      <w:pPr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5331460" cy="3032125"/>
            <wp:effectExtent l="0" t="0" r="2540" b="1587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50E53">
      <w:pPr>
        <w:spacing w:line="360" w:lineRule="auto"/>
        <w:ind w:left="420" w:hanging="420"/>
        <w:rPr>
          <w:rFonts w:ascii="宋体" w:hAnsi="宋体" w:eastAsia="宋体"/>
          <w:sz w:val="22"/>
        </w:rPr>
      </w:pPr>
    </w:p>
    <w:p w14:paraId="6D04457E">
      <w:pPr>
        <w:pStyle w:val="4"/>
      </w:pPr>
      <w:bookmarkStart w:id="34" w:name="_Toc0000000153"/>
      <w:bookmarkStart w:id="35" w:name="_Toc412851813"/>
      <w:r>
        <w:rPr>
          <w:rFonts w:eastAsia="黑体"/>
          <w:b/>
          <w:color w:val="2C5282"/>
          <w:sz w:val="26"/>
        </w:rPr>
        <w:t>3.4.3 通用操作</w:t>
      </w:r>
      <w:bookmarkEnd w:id="34"/>
      <w:bookmarkEnd w:id="35"/>
    </w:p>
    <w:p w14:paraId="6E4D3552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结项报告列表支持按状态筛选与导出；结项审核通过后项目完结，无法再次修改。</w:t>
      </w:r>
    </w:p>
    <w:p w14:paraId="6751BFDD">
      <w:pPr>
        <w:pStyle w:val="2"/>
      </w:pPr>
      <w:bookmarkStart w:id="36" w:name="_Toc0000000164"/>
      <w:bookmarkStart w:id="37" w:name="_Toc280757634"/>
      <w:r>
        <w:rPr>
          <w:rFonts w:eastAsia="黑体"/>
          <w:b/>
          <w:color w:val="1E3A5F"/>
          <w:sz w:val="36"/>
        </w:rPr>
        <w:t>4. 通用功能按钮详情说明</w:t>
      </w:r>
      <w:bookmarkEnd w:id="36"/>
      <w:bookmarkEnd w:id="37"/>
    </w:p>
    <w:p w14:paraId="6FD0B3DA">
      <w:pPr>
        <w:spacing w:line="360" w:lineRule="auto"/>
        <w:ind w:firstLine="420"/>
      </w:pPr>
      <w:r>
        <w:rPr>
          <w:rFonts w:ascii="宋体" w:hAnsi="宋体" w:eastAsia="宋体"/>
          <w:sz w:val="22"/>
        </w:rPr>
        <w:t>本系统学生端各功能模块列表页均包含通用操作按钮，下表详细列出了所有按钮的核心功能说明：</w:t>
      </w:r>
    </w:p>
    <w:tbl>
      <w:tblPr>
        <w:tblStyle w:val="10"/>
        <w:tblW w:w="9360" w:type="dxa"/>
        <w:jc w:val="center"/>
        <w:tblBorders>
          <w:top w:val="single" w:color="CBD5E0" w:sz="4" w:space="0"/>
          <w:left w:val="single" w:color="CBD5E0" w:sz="4" w:space="0"/>
          <w:bottom w:val="single" w:color="CBD5E0" w:sz="4" w:space="0"/>
          <w:right w:val="single" w:color="CBD5E0" w:sz="4" w:space="0"/>
          <w:insideH w:val="single" w:color="CBD5E0" w:sz="4" w:space="0"/>
          <w:insideV w:val="single" w:color="CBD5E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00"/>
        <w:gridCol w:w="6660"/>
      </w:tblGrid>
      <w:tr w14:paraId="7FFA4ECA">
        <w:trPr>
          <w:trHeight w:val="500" w:hRule="atLeast"/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shd w:val="clear" w:color="auto" w:fill="D5E8F0"/>
            <w:vAlign w:val="center"/>
          </w:tcPr>
          <w:p w14:paraId="002F0C1D">
            <w:pPr>
              <w:spacing w:line="320" w:lineRule="auto"/>
              <w:ind w:firstLine="0"/>
              <w:jc w:val="center"/>
            </w:pPr>
            <w:r>
              <w:rPr>
                <w:rFonts w:ascii="宋体" w:hAnsi="宋体" w:eastAsia="宋体"/>
                <w:b/>
                <w:sz w:val="22"/>
              </w:rPr>
              <w:t>按钮名称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shd w:val="clear" w:color="auto" w:fill="D5E8F0"/>
            <w:vAlign w:val="center"/>
          </w:tcPr>
          <w:p w14:paraId="1B3A540C">
            <w:pPr>
              <w:spacing w:line="320" w:lineRule="auto"/>
              <w:ind w:firstLine="0"/>
              <w:jc w:val="center"/>
            </w:pPr>
            <w:r>
              <w:rPr>
                <w:rFonts w:ascii="宋体" w:hAnsi="宋体" w:eastAsia="宋体"/>
                <w:b/>
                <w:sz w:val="22"/>
              </w:rPr>
              <w:t>核心功能说明</w:t>
            </w:r>
          </w:p>
        </w:tc>
      </w:tr>
      <w:tr w14:paraId="71B1DBDE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0F0C979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搜索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3C5BFDC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结合页面筛选条件查询本人项目数据</w:t>
            </w:r>
          </w:p>
        </w:tc>
      </w:tr>
      <w:tr w14:paraId="0F2FA856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2CDE5E9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清空条件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3437DD97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重置当前页面所有筛选条件，恢复列表页全量数据展示</w:t>
            </w:r>
          </w:p>
        </w:tc>
      </w:tr>
      <w:tr w14:paraId="5AD33D7F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FC083FD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更多条件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AF6DCEF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展开高级筛选栏，展示更多筛选维度</w:t>
            </w:r>
          </w:p>
        </w:tc>
      </w:tr>
      <w:tr w14:paraId="0DF9B3C3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19E8BC88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收起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35141EC4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隐藏筛选栏，扩大数据展示区域</w:t>
            </w:r>
          </w:p>
        </w:tc>
      </w:tr>
      <w:tr w14:paraId="3E4BD3EC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51AF8EA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新增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77566DB7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申报/报告页面专用，弹出信息填写弹窗创建新申报/报告</w:t>
            </w:r>
          </w:p>
        </w:tc>
      </w:tr>
      <w:tr w14:paraId="5B15C645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5ED1D2A5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保存草稿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7B942A9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暂存当前填写内容，不进入审核流程</w:t>
            </w:r>
          </w:p>
        </w:tc>
      </w:tr>
      <w:tr w14:paraId="3F09BA99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1AAED0FA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提交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53BB0F9D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将填写完成的申报/报告推送至审核流程，状态更新为待审核</w:t>
            </w:r>
          </w:p>
        </w:tc>
      </w:tr>
      <w:tr w14:paraId="7B600D79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78D6315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修改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5ACB915D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详情页面专用，针对被退回的申报/报告补充信息后重新提交</w:t>
            </w:r>
          </w:p>
        </w:tc>
      </w:tr>
      <w:tr w14:paraId="75411E27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3372FB44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模板下载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5223CD30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批次详情页面专用，下载对应阶段的申报模板</w:t>
            </w:r>
          </w:p>
        </w:tc>
      </w:tr>
      <w:tr w14:paraId="55842A57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6F9193CF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导出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45C25D78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将当前列表数据导出为Excel文件</w:t>
            </w:r>
          </w:p>
        </w:tc>
      </w:tr>
      <w:tr w14:paraId="788740C1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2037012C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详情导出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353F94C8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统计页面专用，导出含全阶段详情的完整数据</w:t>
            </w:r>
          </w:p>
        </w:tc>
      </w:tr>
      <w:tr w14:paraId="16C6D368">
        <w:trPr>
          <w:jc w:val="center"/>
        </w:trPr>
        <w:tc>
          <w:tcPr>
            <w:tcW w:w="270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0516B1E0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自定义列</w:t>
            </w:r>
          </w:p>
        </w:tc>
        <w:tc>
          <w:tcPr>
            <w:tcW w:w="6660" w:type="dxa"/>
            <w:tcBorders>
              <w:top w:val="single" w:color="CBD5E0" w:sz="4" w:space="0"/>
              <w:left w:val="single" w:color="CBD5E0" w:sz="4" w:space="0"/>
              <w:bottom w:val="single" w:color="CBD5E0" w:sz="4" w:space="0"/>
              <w:right w:val="single" w:color="CBD5E0" w:sz="4" w:space="0"/>
            </w:tcBorders>
            <w:vAlign w:val="center"/>
          </w:tcPr>
          <w:p w14:paraId="10A6D0C3">
            <w:pPr>
              <w:spacing w:line="320" w:lineRule="auto"/>
              <w:ind w:firstLine="0"/>
            </w:pPr>
            <w:r>
              <w:rPr>
                <w:rFonts w:ascii="宋体" w:hAnsi="宋体" w:eastAsia="宋体"/>
                <w:sz w:val="22"/>
              </w:rPr>
              <w:t>列表页通用，配置列表展示字段</w:t>
            </w:r>
          </w:p>
        </w:tc>
      </w:tr>
    </w:tbl>
    <w:p w14:paraId="54F3D0D8">
      <w:pPr>
        <w:sectPr>
          <w:pgSz w:w="11906" w:h="16838"/>
          <w:pgMar w:top="1440" w:right="1440" w:bottom="1440" w:left="1440" w:header="708" w:footer="708" w:gutter="0"/>
          <w:cols w:space="720" w:num="1"/>
        </w:sectPr>
      </w:pPr>
    </w:p>
    <w:p w14:paraId="63D4CEAC"/>
    <w:sectPr>
      <w:pgSz w:w="11906" w:h="16838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iragino Sans GB">
    <w:panose1 w:val="020B0300000000000000"/>
    <w:charset w:val="86"/>
    <w:family w:val="auto"/>
    <w:pitch w:val="default"/>
    <w:sig w:usb0="A00002BF" w:usb1="1ACF7CFA" w:usb2="00000016" w:usb3="00000000" w:csb0="0006000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splitPgBreakAndParaMark/>
    <w:compatSetting w:name="compatibilityMode" w:uri="http://schemas.microsoft.com/office/word" w:val="12"/>
  </w:compat>
  <w:rsids>
    <w:rsidRoot w:val="00172A27"/>
    <w:rsid w:val="1F66614D"/>
    <w:rsid w:val="2F74AE0E"/>
    <w:rsid w:val="3AF79ED7"/>
    <w:rsid w:val="5F7A4096"/>
    <w:rsid w:val="5F9FDCF3"/>
    <w:rsid w:val="6BFF5CB4"/>
    <w:rsid w:val="6F9F596A"/>
    <w:rsid w:val="79FE222E"/>
    <w:rsid w:val="7BAF7F75"/>
    <w:rsid w:val="7CFF907D"/>
    <w:rsid w:val="7DFD0630"/>
    <w:rsid w:val="7FDF3B9A"/>
    <w:rsid w:val="7FEF1097"/>
    <w:rsid w:val="8C57F7B5"/>
    <w:rsid w:val="9DB70935"/>
    <w:rsid w:val="AF7F0931"/>
    <w:rsid w:val="F6BF34D6"/>
    <w:rsid w:val="F7CB917E"/>
    <w:rsid w:val="FEFB37CE"/>
    <w:rsid w:val="FFFB1E7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pacing w:after="160" w:line="360" w:lineRule="auto"/>
      <w:ind w:firstLine="420"/>
    </w:pPr>
    <w:rPr>
      <w:rFonts w:ascii="Calibri" w:hAnsi="Calibri" w:eastAsia="宋体" w:cs="Times New Roman"/>
      <w:color w:val="2D3748"/>
      <w:sz w:val="21"/>
      <w:szCs w:val="21"/>
    </w:rPr>
  </w:style>
  <w:style w:type="paragraph" w:styleId="2">
    <w:name w:val="heading 1"/>
    <w:basedOn w:val="1"/>
    <w:uiPriority w:val="0"/>
    <w:pPr>
      <w:keepNext/>
      <w:keepLines/>
      <w:pageBreakBefore/>
      <w:spacing w:before="400" w:after="240" w:line="240" w:lineRule="auto"/>
      <w:ind w:firstLine="0"/>
      <w:outlineLvl w:val="0"/>
    </w:pPr>
    <w:rPr>
      <w:rFonts w:eastAsia="黑体"/>
      <w:b/>
      <w:color w:val="1E3A5F"/>
      <w:sz w:val="32"/>
    </w:rPr>
  </w:style>
  <w:style w:type="paragraph" w:styleId="3">
    <w:name w:val="heading 2"/>
    <w:basedOn w:val="1"/>
    <w:uiPriority w:val="0"/>
    <w:pPr>
      <w:keepNext/>
      <w:keepLines/>
      <w:spacing w:before="320" w:after="160"/>
      <w:ind w:firstLine="0"/>
      <w:outlineLvl w:val="1"/>
    </w:pPr>
    <w:rPr>
      <w:rFonts w:eastAsia="黑体"/>
      <w:b/>
      <w:color w:val="2D3748"/>
      <w:sz w:val="26"/>
    </w:rPr>
  </w:style>
  <w:style w:type="paragraph" w:styleId="4">
    <w:name w:val="heading 3"/>
    <w:basedOn w:val="1"/>
    <w:uiPriority w:val="0"/>
    <w:pPr>
      <w:keepNext/>
      <w:keepLines/>
      <w:spacing w:before="240" w:after="120"/>
      <w:ind w:firstLine="0"/>
      <w:outlineLvl w:val="2"/>
    </w:pPr>
    <w:rPr>
      <w:rFonts w:eastAsia="黑体"/>
      <w:b/>
      <w:color w:val="4A5568"/>
      <w:sz w:val="24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uiPriority w:val="0"/>
    <w:pPr>
      <w:tabs>
        <w:tab w:val="right" w:leader="dot" w:pos="8500"/>
      </w:tabs>
      <w:spacing w:before="160" w:after="60"/>
      <w:ind w:firstLine="0"/>
    </w:pPr>
    <w:rPr>
      <w:b/>
      <w:color w:val="2D3748"/>
    </w:rPr>
  </w:style>
  <w:style w:type="paragraph" w:styleId="9">
    <w:name w:val="toc 2"/>
    <w:basedOn w:val="1"/>
    <w:uiPriority w:val="0"/>
    <w:pPr>
      <w:tabs>
        <w:tab w:val="right" w:leader="dot" w:pos="8500"/>
      </w:tabs>
      <w:spacing w:before="60" w:after="60"/>
      <w:ind w:left="420" w:firstLine="0"/>
    </w:pPr>
    <w:rPr>
      <w:color w:val="4A556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13</Pages>
  <TotalTime>0</TotalTime>
  <ScaleCrop>false</ScaleCrop>
  <LinksUpToDate>false</LinksUpToDate>
  <Application>WPS Office_12.1.26026.26026_F1E327BC-269C-435d-A152-05C5408002CA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2026-03-02T22:09:00Z</dcterms:created>
  <dc:creator>Data</dc:creator>
  <cp:lastModifiedBy>1</cp:lastModifiedBy>
  <dcterms:modified xsi:type="dcterms:W3CDTF">2026-09-06T22:22:17Z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2052-12.1.26026.26026</vt:lpwstr>
  </property>
  <property fmtid="{D5CDD505-2E9C-101B-9397-08002B2CF9AE}" pid="3" name="ICV">
    <vt:lpwstr>3F721E6FC7088A6CAD53A469F0D304E8_42</vt:lpwstr>
  </property>
</Properties>
</file>